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2B5" w:rsidRPr="004E12B5" w:rsidRDefault="004E12B5" w:rsidP="004E12B5">
      <w:pPr>
        <w:spacing w:after="0" w:line="240" w:lineRule="auto"/>
        <w:jc w:val="right"/>
        <w:rPr>
          <w:rFonts w:eastAsia="Times New Roman" w:cs="Times New Roman"/>
          <w:sz w:val="20"/>
          <w:szCs w:val="20"/>
          <w:lang w:eastAsia="ru-RU"/>
        </w:rPr>
      </w:pPr>
      <w:r w:rsidRPr="004E12B5">
        <w:rPr>
          <w:rFonts w:eastAsia="Times New Roman" w:cs="Times New Roman"/>
          <w:sz w:val="20"/>
          <w:szCs w:val="20"/>
          <w:lang w:eastAsia="ru-RU"/>
        </w:rPr>
        <w:t>УТВЕРЖДЕНО</w:t>
      </w:r>
    </w:p>
    <w:p w:rsidR="004E12B5" w:rsidRPr="004E12B5" w:rsidRDefault="004E12B5" w:rsidP="004E12B5">
      <w:pPr>
        <w:spacing w:after="0" w:line="240" w:lineRule="auto"/>
        <w:jc w:val="right"/>
        <w:rPr>
          <w:rFonts w:eastAsia="Times New Roman" w:cs="Times New Roman"/>
          <w:sz w:val="20"/>
          <w:szCs w:val="20"/>
          <w:lang w:eastAsia="ru-RU"/>
        </w:rPr>
      </w:pPr>
      <w:r w:rsidRPr="004E12B5">
        <w:rPr>
          <w:rFonts w:eastAsia="Times New Roman" w:cs="Times New Roman"/>
          <w:sz w:val="20"/>
          <w:szCs w:val="20"/>
          <w:lang w:eastAsia="ru-RU"/>
        </w:rPr>
        <w:t>Советом директоров</w:t>
      </w:r>
    </w:p>
    <w:p w:rsidR="004E12B5" w:rsidRPr="004E12B5" w:rsidRDefault="004E12B5" w:rsidP="004E12B5">
      <w:pPr>
        <w:spacing w:after="0" w:line="240" w:lineRule="auto"/>
        <w:jc w:val="right"/>
        <w:rPr>
          <w:rFonts w:eastAsia="Times New Roman" w:cs="Times New Roman"/>
          <w:sz w:val="20"/>
          <w:szCs w:val="20"/>
          <w:lang w:eastAsia="ru-RU"/>
        </w:rPr>
      </w:pPr>
      <w:r w:rsidRPr="004E12B5">
        <w:rPr>
          <w:rFonts w:eastAsia="Times New Roman" w:cs="Times New Roman"/>
          <w:sz w:val="20"/>
          <w:szCs w:val="20"/>
          <w:lang w:eastAsia="ru-RU"/>
        </w:rPr>
        <w:t>ООО «Московские партнеры»</w:t>
      </w:r>
    </w:p>
    <w:p w:rsidR="004E12B5" w:rsidRPr="004E12B5" w:rsidRDefault="004E12B5" w:rsidP="004E12B5">
      <w:pPr>
        <w:spacing w:after="0" w:line="240" w:lineRule="auto"/>
        <w:jc w:val="right"/>
        <w:rPr>
          <w:rFonts w:eastAsia="Times New Roman" w:cs="Times New Roman"/>
          <w:sz w:val="20"/>
          <w:szCs w:val="20"/>
          <w:lang w:eastAsia="ru-RU"/>
        </w:rPr>
      </w:pPr>
    </w:p>
    <w:p w:rsidR="004E12B5" w:rsidRDefault="004E12B5" w:rsidP="004E12B5">
      <w:pPr>
        <w:rPr>
          <w:rFonts w:eastAsia="Times New Roman" w:cs="Times New Roman"/>
          <w:sz w:val="20"/>
          <w:szCs w:val="20"/>
          <w:lang w:eastAsia="ru-RU"/>
        </w:rPr>
      </w:pPr>
      <w:r>
        <w:rPr>
          <w:rFonts w:eastAsia="Times New Roman" w:cs="Times New Roman"/>
          <w:sz w:val="20"/>
          <w:szCs w:val="20"/>
          <w:lang w:eastAsia="ru-RU"/>
        </w:rPr>
        <w:t xml:space="preserve">                                                                                                                    </w:t>
      </w:r>
      <w:r w:rsidR="0069705D">
        <w:rPr>
          <w:rFonts w:eastAsia="Times New Roman" w:cs="Times New Roman"/>
          <w:sz w:val="20"/>
          <w:szCs w:val="20"/>
          <w:lang w:eastAsia="ru-RU"/>
        </w:rPr>
        <w:t xml:space="preserve">           </w:t>
      </w:r>
      <w:r w:rsidR="00F0620F">
        <w:rPr>
          <w:rFonts w:eastAsia="Times New Roman" w:cs="Times New Roman"/>
          <w:sz w:val="20"/>
          <w:szCs w:val="20"/>
          <w:lang w:eastAsia="ru-RU"/>
        </w:rPr>
        <w:t xml:space="preserve"> </w:t>
      </w:r>
      <w:r w:rsidR="00D764D9">
        <w:rPr>
          <w:rFonts w:eastAsia="Times New Roman" w:cs="Times New Roman"/>
          <w:sz w:val="20"/>
          <w:szCs w:val="20"/>
          <w:lang w:eastAsia="ru-RU"/>
        </w:rPr>
        <w:t xml:space="preserve">  </w:t>
      </w:r>
      <w:r w:rsidRPr="004E12B5">
        <w:rPr>
          <w:rFonts w:eastAsia="Times New Roman" w:cs="Times New Roman"/>
          <w:sz w:val="20"/>
          <w:szCs w:val="20"/>
          <w:lang w:eastAsia="ru-RU"/>
        </w:rPr>
        <w:t xml:space="preserve">Протокол № </w:t>
      </w:r>
      <w:r w:rsidR="0069705D">
        <w:rPr>
          <w:rFonts w:eastAsia="Times New Roman" w:cs="Times New Roman"/>
          <w:sz w:val="20"/>
          <w:szCs w:val="20"/>
          <w:lang w:eastAsia="ru-RU"/>
        </w:rPr>
        <w:t>17</w:t>
      </w:r>
      <w:r w:rsidRPr="004E12B5">
        <w:rPr>
          <w:rFonts w:eastAsia="Times New Roman" w:cs="Times New Roman"/>
          <w:sz w:val="20"/>
          <w:szCs w:val="20"/>
          <w:lang w:eastAsia="ru-RU"/>
        </w:rPr>
        <w:t>/</w:t>
      </w:r>
      <w:r w:rsidR="0069705D">
        <w:rPr>
          <w:rFonts w:eastAsia="Times New Roman" w:cs="Times New Roman"/>
          <w:sz w:val="20"/>
          <w:szCs w:val="20"/>
          <w:lang w:eastAsia="ru-RU"/>
        </w:rPr>
        <w:t>09</w:t>
      </w:r>
      <w:r w:rsidR="00F0620F">
        <w:rPr>
          <w:rFonts w:eastAsia="Times New Roman" w:cs="Times New Roman"/>
          <w:sz w:val="20"/>
          <w:szCs w:val="20"/>
          <w:lang w:eastAsia="ru-RU"/>
        </w:rPr>
        <w:t xml:space="preserve"> </w:t>
      </w:r>
      <w:r w:rsidRPr="004E12B5">
        <w:rPr>
          <w:rFonts w:eastAsia="Times New Roman" w:cs="Times New Roman"/>
          <w:sz w:val="20"/>
          <w:szCs w:val="20"/>
          <w:lang w:eastAsia="ru-RU"/>
        </w:rPr>
        <w:t>от</w:t>
      </w:r>
      <w:r w:rsidR="00F0620F">
        <w:rPr>
          <w:rFonts w:eastAsia="Times New Roman" w:cs="Times New Roman"/>
          <w:sz w:val="20"/>
          <w:szCs w:val="20"/>
          <w:lang w:eastAsia="ru-RU"/>
        </w:rPr>
        <w:t xml:space="preserve"> </w:t>
      </w:r>
      <w:r w:rsidR="0069705D">
        <w:rPr>
          <w:rFonts w:eastAsia="Times New Roman" w:cs="Times New Roman"/>
          <w:sz w:val="20"/>
          <w:szCs w:val="20"/>
          <w:lang w:eastAsia="ru-RU"/>
        </w:rPr>
        <w:t>17 сентября 2021г.</w:t>
      </w:r>
    </w:p>
    <w:p w:rsidR="00D764D9" w:rsidRDefault="00D764D9" w:rsidP="0031466E">
      <w:pPr>
        <w:jc w:val="center"/>
        <w:rPr>
          <w:b/>
        </w:rPr>
      </w:pPr>
    </w:p>
    <w:p w:rsidR="00E57646" w:rsidRDefault="00E57646" w:rsidP="0031466E">
      <w:pPr>
        <w:jc w:val="center"/>
        <w:rPr>
          <w:b/>
        </w:rPr>
      </w:pPr>
      <w:r>
        <w:rPr>
          <w:b/>
        </w:rPr>
        <w:t>Порядок получения Ф</w:t>
      </w:r>
      <w:r w:rsidRPr="00E57646">
        <w:rPr>
          <w:b/>
        </w:rPr>
        <w:t>ин</w:t>
      </w:r>
      <w:r>
        <w:rPr>
          <w:b/>
        </w:rPr>
        <w:t xml:space="preserve">ансовой </w:t>
      </w:r>
      <w:r w:rsidRPr="00E57646">
        <w:rPr>
          <w:b/>
        </w:rPr>
        <w:t>услуги</w:t>
      </w:r>
      <w:r>
        <w:rPr>
          <w:b/>
        </w:rPr>
        <w:t xml:space="preserve"> в ООО «Московские партнеры»</w:t>
      </w:r>
      <w:r w:rsidR="00F0620F">
        <w:rPr>
          <w:b/>
        </w:rPr>
        <w:t xml:space="preserve"> при осуществлении брокерской деятельности</w:t>
      </w:r>
      <w:r>
        <w:rPr>
          <w:b/>
        </w:rPr>
        <w:t>.</w:t>
      </w:r>
    </w:p>
    <w:p w:rsidR="00E57646" w:rsidRDefault="00E57646" w:rsidP="0031466E">
      <w:pPr>
        <w:jc w:val="both"/>
      </w:pPr>
      <w:r w:rsidRPr="00E57646">
        <w:rPr>
          <w:b/>
        </w:rPr>
        <w:t>Финансовая услуга</w:t>
      </w:r>
      <w:r>
        <w:t xml:space="preserve"> – исполнение поручения клиента на совершение гражданско-правовых сделок с ценными бумагами и(или) на заключение договоров, являющихся финансовыми инструментами.</w:t>
      </w:r>
    </w:p>
    <w:p w:rsidR="00E57646" w:rsidRDefault="00E57646" w:rsidP="0031466E">
      <w:pPr>
        <w:jc w:val="both"/>
      </w:pPr>
      <w:r w:rsidRPr="00E57646">
        <w:rPr>
          <w:b/>
        </w:rPr>
        <w:t>Договор о брокерском облуживании</w:t>
      </w:r>
      <w:r>
        <w:t xml:space="preserve"> – возмездный договор, заключаемый между ООО «Московские партнеры» (далее – Брокер) и получателем финансовых услуг, в рамках которого Брокер обязуется исполнять поручения клиента на совершение гражданско</w:t>
      </w:r>
      <w:r w:rsidR="0031466E">
        <w:t xml:space="preserve"> </w:t>
      </w:r>
      <w:r>
        <w:t>- правовых сделок с ценными бумагами и(или) на заключение договоров, являющихся производными финансовыми инструментами.</w:t>
      </w:r>
    </w:p>
    <w:p w:rsidR="00A20F36" w:rsidRDefault="00E57646" w:rsidP="0031466E">
      <w:pPr>
        <w:jc w:val="both"/>
      </w:pPr>
      <w:r w:rsidRPr="00E57646">
        <w:rPr>
          <w:b/>
        </w:rPr>
        <w:t>Получатель финансовых услуг</w:t>
      </w:r>
      <w:r>
        <w:t xml:space="preserve"> – клиент, а также юридическое или физическое лицо, намеренное заключить договор о брокерском обслуживании.</w:t>
      </w:r>
    </w:p>
    <w:p w:rsidR="005050D7" w:rsidRPr="005050D7" w:rsidRDefault="005050D7" w:rsidP="0031466E">
      <w:pPr>
        <w:jc w:val="both"/>
      </w:pPr>
      <w:r w:rsidRPr="005050D7">
        <w:rPr>
          <w:b/>
        </w:rPr>
        <w:t>Клиент</w:t>
      </w:r>
      <w:r>
        <w:rPr>
          <w:b/>
        </w:rPr>
        <w:t xml:space="preserve"> </w:t>
      </w:r>
      <w:r>
        <w:t>– юридическое или физическое лицо, заключившее с брокером договор о брокерском обслуживании.</w:t>
      </w:r>
    </w:p>
    <w:p w:rsidR="00E57646" w:rsidRDefault="00E57646" w:rsidP="0031466E">
      <w:pPr>
        <w:pStyle w:val="a4"/>
        <w:numPr>
          <w:ilvl w:val="0"/>
          <w:numId w:val="1"/>
        </w:numPr>
        <w:ind w:left="0" w:firstLine="0"/>
        <w:jc w:val="both"/>
      </w:pPr>
      <w:r>
        <w:t>Брокер предоставляет получателям финансовых услуг доступ к информации на равных правах и в равном объеме с соблюдением требований федеральных законов и принятых в соответствии с ними нормативных актов.</w:t>
      </w:r>
      <w:r w:rsidRPr="00E57646">
        <w:t xml:space="preserve"> </w:t>
      </w:r>
    </w:p>
    <w:p w:rsidR="00E57646" w:rsidRDefault="00E57646" w:rsidP="0031466E">
      <w:pPr>
        <w:pStyle w:val="a4"/>
        <w:numPr>
          <w:ilvl w:val="1"/>
          <w:numId w:val="1"/>
        </w:numPr>
        <w:ind w:left="0" w:firstLine="0"/>
        <w:jc w:val="both"/>
      </w:pPr>
      <w:r>
        <w:t>Брокер обеспечивает предоставление получателю финансовых услуг информации без совершения получателем финансовых услуг дополнительных действий, не предусмотренных законодательством Российской Федерации и (или) договором о брокерском обслуживании.</w:t>
      </w:r>
      <w:r w:rsidRPr="00E57646">
        <w:t xml:space="preserve"> </w:t>
      </w:r>
    </w:p>
    <w:p w:rsidR="00E57646" w:rsidRDefault="00E57646" w:rsidP="0031466E">
      <w:pPr>
        <w:pStyle w:val="a4"/>
        <w:numPr>
          <w:ilvl w:val="1"/>
          <w:numId w:val="1"/>
        </w:numPr>
        <w:ind w:left="0" w:firstLine="0"/>
        <w:jc w:val="both"/>
      </w:pPr>
      <w:r>
        <w:t>Не допускается предоставление информации, которая вводит получателя финансовой услуги в заблуждение относительно предмета заключаемого с ним договора о брокерском обслуживании, а также информации, которая может повлечь неоднозначное толкование свойств финансовой услуги.</w:t>
      </w:r>
      <w:r w:rsidRPr="00E57646">
        <w:t xml:space="preserve"> </w:t>
      </w:r>
    </w:p>
    <w:p w:rsidR="0031466E" w:rsidRDefault="0031466E" w:rsidP="0031466E">
      <w:pPr>
        <w:pStyle w:val="a4"/>
        <w:ind w:left="0"/>
        <w:jc w:val="both"/>
      </w:pPr>
    </w:p>
    <w:p w:rsidR="00B84D7D" w:rsidRDefault="00E57646" w:rsidP="00B84D7D">
      <w:pPr>
        <w:pStyle w:val="a4"/>
        <w:numPr>
          <w:ilvl w:val="0"/>
          <w:numId w:val="1"/>
        </w:numPr>
        <w:ind w:left="0" w:firstLine="0"/>
        <w:jc w:val="both"/>
      </w:pPr>
      <w:r w:rsidRPr="0031466E">
        <w:t>До заключения договора</w:t>
      </w:r>
      <w:r>
        <w:t xml:space="preserve"> о брокерском обслуживании </w:t>
      </w:r>
      <w:r w:rsidR="0031466E">
        <w:t xml:space="preserve">Брокер уведомляет </w:t>
      </w:r>
      <w:r>
        <w:t>получат</w:t>
      </w:r>
      <w:r w:rsidR="0031466E">
        <w:t>еля</w:t>
      </w:r>
      <w:r>
        <w:t xml:space="preserve"> финансовых услуг: </w:t>
      </w:r>
    </w:p>
    <w:p w:rsidR="00E57646" w:rsidRDefault="00B84D7D" w:rsidP="00B84D7D">
      <w:pPr>
        <w:pStyle w:val="a4"/>
        <w:ind w:left="0"/>
        <w:jc w:val="both"/>
      </w:pPr>
      <w:r>
        <w:t xml:space="preserve">- </w:t>
      </w:r>
      <w:r w:rsidR="0031466E">
        <w:t>оказываемые Бр</w:t>
      </w:r>
      <w:r w:rsidR="00E57646">
        <w:t>окером финансовые услуги не являются услугами по открытию банковских счетов и приему вкладов;</w:t>
      </w:r>
    </w:p>
    <w:p w:rsidR="00E57646" w:rsidRDefault="00B84D7D" w:rsidP="00B84D7D">
      <w:pPr>
        <w:pStyle w:val="a4"/>
        <w:ind w:left="0"/>
        <w:jc w:val="both"/>
      </w:pPr>
      <w:r>
        <w:t xml:space="preserve">- </w:t>
      </w:r>
      <w:r w:rsidR="00E57646">
        <w:t>денежные средства, передаваемые по договору на брокерское обслуживание, не подлежат страхованию в соответствии с Федеральным законом от 23 декабря 2003 года №177-ФЗ «О страховании вкладов физических лиц в банках Российской Федерации».</w:t>
      </w:r>
    </w:p>
    <w:p w:rsidR="00B84D7D" w:rsidRDefault="00B84D7D" w:rsidP="00B03AB3">
      <w:pPr>
        <w:pStyle w:val="a4"/>
        <w:numPr>
          <w:ilvl w:val="1"/>
          <w:numId w:val="1"/>
        </w:numPr>
        <w:ind w:left="0" w:firstLine="0"/>
        <w:jc w:val="both"/>
      </w:pPr>
      <w:r>
        <w:t xml:space="preserve">При заключении договора о брокерском обслуживании Брокер уведомляет получателя финансовых </w:t>
      </w:r>
      <w:r w:rsidRPr="00B84D7D">
        <w:t>услуг</w:t>
      </w:r>
      <w:r>
        <w:t>:</w:t>
      </w:r>
    </w:p>
    <w:p w:rsidR="00421FD4" w:rsidRPr="00B84D7D" w:rsidRDefault="00B84D7D" w:rsidP="00B84D7D">
      <w:pPr>
        <w:pStyle w:val="a4"/>
        <w:ind w:left="0"/>
        <w:jc w:val="both"/>
      </w:pPr>
      <w:r>
        <w:t>-</w:t>
      </w:r>
      <w:r w:rsidRPr="00B84D7D">
        <w:t xml:space="preserve"> </w:t>
      </w:r>
      <w:r w:rsidR="00421FD4" w:rsidRPr="00B84D7D">
        <w:t xml:space="preserve">о рисках, связанных с заключением, исполнением и прекращением договора о брокерском обслуживании путем предоставления деклараций о рисках. Декларации о рисках утверждаются Брокером в составе Регламента осуществления брокерской деятельности Обществом с ограниченной ответственностью «Московские партнеры» и предоставляются получателю </w:t>
      </w:r>
      <w:r w:rsidR="00421FD4" w:rsidRPr="00B84D7D">
        <w:lastRenderedPageBreak/>
        <w:t>финансовых услуг в той же форме, в которой с получателем финансовых услуг заключается договор о брокерском обслуживании. Регламент осуществления брокерской деятельности доступен любым заинтересованным лицам на официальном сайте брокера в сети «Интернет» - www.moscowpartners.com (далее – Сайт Брокера);</w:t>
      </w:r>
    </w:p>
    <w:p w:rsidR="00E57646" w:rsidRDefault="00B84D7D" w:rsidP="00B84D7D">
      <w:pPr>
        <w:pStyle w:val="a4"/>
        <w:ind w:left="0"/>
        <w:jc w:val="both"/>
      </w:pPr>
      <w:r>
        <w:t xml:space="preserve">- </w:t>
      </w:r>
      <w:r w:rsidR="00E57646">
        <w:t xml:space="preserve">о рисках, связанных с использованием </w:t>
      </w:r>
      <w:r w:rsidR="0031466E">
        <w:t>Б</w:t>
      </w:r>
      <w:r w:rsidR="00E57646">
        <w:t>рокером в своих интересах денежных средств получателя финансовых услуг, находящихся на специальном брокерском счете (специальных брокерских счетах), если это предусмотрено договором о брокерском обслуживании</w:t>
      </w:r>
      <w:r w:rsidR="0031466E" w:rsidRPr="0031466E">
        <w:t xml:space="preserve"> или соглашением к договору о брокерском обслуживании</w:t>
      </w:r>
      <w:r w:rsidR="0031466E">
        <w:t>.</w:t>
      </w:r>
      <w:r w:rsidR="0031466E" w:rsidRPr="0031466E">
        <w:t xml:space="preserve"> В </w:t>
      </w:r>
      <w:r w:rsidR="0031466E">
        <w:t xml:space="preserve">случае </w:t>
      </w:r>
      <w:r w:rsidR="0031466E" w:rsidRPr="0031466E">
        <w:t>использования Брокером в своих интересах денежных средств получателя финансовых услуг, находящихся на специальном брокерском счете (специальных брокерских счетах), возникает риск, связанный с недостачей денежных средств в случ</w:t>
      </w:r>
      <w:r w:rsidR="005050D7">
        <w:t>ае зачисления денежных средств К</w:t>
      </w:r>
      <w:r w:rsidR="0031466E" w:rsidRPr="0031466E">
        <w:t>лиента на собственный банковский счет Брокера из-за отсутствия на счете Брокера достаточного количества денежных средств, так и из-за обращения взыскания на имущество Брокера или невозможности осуществить операцию по банковскому счету Брокера в виду приостановления операций по нему в случаях, установленных зак</w:t>
      </w:r>
      <w:r>
        <w:t>онодательством;</w:t>
      </w:r>
    </w:p>
    <w:p w:rsidR="00E57646" w:rsidRDefault="00B84D7D" w:rsidP="0069705D">
      <w:pPr>
        <w:pStyle w:val="a4"/>
        <w:ind w:left="0"/>
        <w:jc w:val="both"/>
      </w:pPr>
      <w:r>
        <w:t xml:space="preserve">-  </w:t>
      </w:r>
      <w:r w:rsidR="00E57646" w:rsidRPr="00B84D7D">
        <w:t>об общем характере и (или)</w:t>
      </w:r>
      <w:r w:rsidR="0069705D">
        <w:t xml:space="preserve"> источниках конфликта интересов,</w:t>
      </w:r>
    </w:p>
    <w:p w:rsidR="0069705D" w:rsidRDefault="0069705D" w:rsidP="0069705D">
      <w:pPr>
        <w:pStyle w:val="a4"/>
        <w:ind w:left="0"/>
        <w:jc w:val="both"/>
      </w:pPr>
      <w:r>
        <w:t xml:space="preserve"> - о проведении Брокером с 01.10.2021г. тестирования</w:t>
      </w:r>
      <w:r w:rsidRPr="0069705D">
        <w:t xml:space="preserve"> физических лиц, не являющихся </w:t>
      </w:r>
      <w:bookmarkStart w:id="0" w:name="_GoBack"/>
      <w:r w:rsidRPr="0069705D">
        <w:t>квалифици</w:t>
      </w:r>
      <w:r>
        <w:t>рованными инвесторами, введенного</w:t>
      </w:r>
      <w:r w:rsidRPr="0069705D">
        <w:t xml:space="preserve"> Федеральным законом от 31 июля 2020 года № 306-ФЗ «О внесении изменений в Федеральный закон «О рынке ценных бумаг» и отдельными законодательными актами Российской Федерации, до совершения сделок/заключения договоров, требующих проведения тестирования, в соответствии с Порядком тестирования физического лица, не являющегося квалифицированным инвестором, утвержденным в ООО «Московские партне</w:t>
      </w:r>
      <w:r>
        <w:t xml:space="preserve">ры». </w:t>
      </w:r>
      <w:r w:rsidRPr="0069705D">
        <w:t>Поряд</w:t>
      </w:r>
      <w:r>
        <w:t xml:space="preserve">ок </w:t>
      </w:r>
      <w:r w:rsidRPr="0069705D">
        <w:t xml:space="preserve">тестирования физического лица, не являющегося квалифицированным инвестором, а также Уведомление о рисках, связанных с совершением (заключением) указанных в поручении сделок (договоров), требующих проведения тестирования, в отношении которых получены отрицательные оценки результатов тестирования, </w:t>
      </w:r>
      <w:r>
        <w:t xml:space="preserve">доступны для ознакомления </w:t>
      </w:r>
      <w:r w:rsidRPr="0069705D">
        <w:t xml:space="preserve">в офисе ООО «Московские партнеры» по адресу местонахождения, а также на официальном интернет – сайте </w:t>
      </w:r>
      <w:hyperlink r:id="rId5" w:history="1">
        <w:r w:rsidRPr="00527FD5">
          <w:rPr>
            <w:rStyle w:val="a3"/>
          </w:rPr>
          <w:t>www.moscowpartners.com</w:t>
        </w:r>
      </w:hyperlink>
      <w:r>
        <w:t>. Тестирование физических лиц, не являющихся квалифицированными инвесторами, проводится Брокером в отношении следующих видов сделок (договоров):</w:t>
      </w:r>
    </w:p>
    <w:bookmarkEnd w:id="0"/>
    <w:p w:rsidR="0069705D" w:rsidRDefault="0069705D" w:rsidP="0069705D">
      <w:pPr>
        <w:pStyle w:val="a4"/>
        <w:ind w:left="0"/>
        <w:jc w:val="both"/>
      </w:pPr>
      <w:r>
        <w:t>1) необеспеченные сделки;</w:t>
      </w:r>
    </w:p>
    <w:p w:rsidR="0069705D" w:rsidRDefault="0069705D" w:rsidP="0069705D">
      <w:pPr>
        <w:pStyle w:val="a4"/>
        <w:ind w:left="0"/>
        <w:jc w:val="both"/>
      </w:pPr>
      <w:r>
        <w:t>2) договоры, являющиеся производными финансовыми инструментами и не предназначенные для квалифицированных инвесторов;</w:t>
      </w:r>
    </w:p>
    <w:p w:rsidR="0069705D" w:rsidRDefault="0069705D" w:rsidP="0069705D">
      <w:pPr>
        <w:pStyle w:val="a4"/>
        <w:ind w:left="0"/>
        <w:jc w:val="both"/>
      </w:pPr>
      <w:r>
        <w:t>3) договоры репо, требующие проведения тестирования;</w:t>
      </w:r>
    </w:p>
    <w:p w:rsidR="0069705D" w:rsidRDefault="0069705D" w:rsidP="0069705D">
      <w:pPr>
        <w:pStyle w:val="a4"/>
        <w:ind w:left="0"/>
        <w:jc w:val="both"/>
      </w:pPr>
      <w:r>
        <w:t>4) сделки по приобретению структурных облигаций, не предназначенных для квалифицированных инвесторов;</w:t>
      </w:r>
    </w:p>
    <w:p w:rsidR="0069705D" w:rsidRDefault="0069705D" w:rsidP="0069705D">
      <w:pPr>
        <w:pStyle w:val="a4"/>
        <w:ind w:left="0"/>
        <w:jc w:val="both"/>
      </w:pPr>
      <w:r>
        <w:t>5) сделки по приобретению инвестиционных паев закрытых паевых инвестиционных фондов, не предназначенных для квалифицированных инвесторов, требующих проведения тестирования;</w:t>
      </w:r>
    </w:p>
    <w:p w:rsidR="0069705D" w:rsidRDefault="0069705D" w:rsidP="0069705D">
      <w:pPr>
        <w:pStyle w:val="a4"/>
        <w:ind w:left="0"/>
        <w:jc w:val="both"/>
      </w:pPr>
      <w:r>
        <w:t xml:space="preserve">6) сделки по приобретению облигаций российских эмитентов, которым (эмитенту которых, лицу, предоставившему обеспечение по которым) не присвоен кредитный рейтинг либо кредитный рейтинг которых (эмитента которых, лица, предоставившего обеспечение по которым) ниже уровня, установленного Советом директоров Банка России; </w:t>
      </w:r>
    </w:p>
    <w:p w:rsidR="0069705D" w:rsidRDefault="0069705D" w:rsidP="0069705D">
      <w:pPr>
        <w:pStyle w:val="a4"/>
        <w:ind w:left="0"/>
        <w:jc w:val="both"/>
      </w:pPr>
      <w:r>
        <w:t>7) сделки по приобретению облигаций иностранных эмитентов, исполнение обязательств по которым обеспечивается или осуществляется за счет юридического лица, созданного в соответствии с законодательством Российской Федерации, не имеющего кредитный рейтинг или кредитный рейтинг которого ниже уровня, установленного Советом директоров Банка России.</w:t>
      </w:r>
    </w:p>
    <w:p w:rsidR="0069705D" w:rsidRDefault="0069705D" w:rsidP="0069705D">
      <w:pPr>
        <w:pStyle w:val="a4"/>
        <w:ind w:left="0"/>
        <w:jc w:val="both"/>
      </w:pPr>
      <w:r>
        <w:t>8) сделки по приобретению облигаций со структурным доходом;</w:t>
      </w:r>
    </w:p>
    <w:p w:rsidR="0069705D" w:rsidRDefault="0069705D" w:rsidP="0069705D">
      <w:pPr>
        <w:pStyle w:val="a4"/>
        <w:ind w:left="0"/>
        <w:jc w:val="both"/>
      </w:pPr>
      <w:r>
        <w:lastRenderedPageBreak/>
        <w:t>9) сделки по приобретению акций, не включенных в котировальные списки;</w:t>
      </w:r>
    </w:p>
    <w:p w:rsidR="0069705D" w:rsidRPr="00AA6CE0" w:rsidRDefault="0069705D" w:rsidP="0069705D">
      <w:pPr>
        <w:pStyle w:val="a4"/>
        <w:ind w:left="0"/>
        <w:jc w:val="both"/>
      </w:pPr>
      <w:r w:rsidRPr="00AA6CE0">
        <w:t>10) сделки по приобретению иностранных акций, требующие проведения тестирования;</w:t>
      </w:r>
    </w:p>
    <w:p w:rsidR="0069705D" w:rsidRPr="00AA6CE0" w:rsidRDefault="0069705D" w:rsidP="0069705D">
      <w:pPr>
        <w:pStyle w:val="a4"/>
        <w:ind w:left="0"/>
        <w:jc w:val="both"/>
      </w:pPr>
      <w:r w:rsidRPr="00AA6CE0">
        <w:t>11) сделки по приобретению паев иностранных ETF, требующих проведения тестирования</w:t>
      </w:r>
      <w:r w:rsidR="00AA6CE0" w:rsidRPr="00AA6CE0">
        <w:t xml:space="preserve"> (требования в соответствии с настоящим подпунктом применимо с 01.04.2022г.)</w:t>
      </w:r>
    </w:p>
    <w:p w:rsidR="0069705D" w:rsidRDefault="0069705D" w:rsidP="0069705D">
      <w:pPr>
        <w:pStyle w:val="a4"/>
        <w:ind w:left="0"/>
        <w:jc w:val="both"/>
      </w:pPr>
      <w:r w:rsidRPr="00AA6CE0">
        <w:t>В случаях, когда в соответствии с Федеральным законом от 22 апреля 1996 года № 39-ФЗ «О рынке</w:t>
      </w:r>
      <w:r>
        <w:t xml:space="preserve"> ценных бумаг» условием приобретения физическим лицом, не являющимся квалифицированным инвестором, иностранных ценных бумаг без проведения тестирования является предоставление такому лицу информации о налоговой ставке и порядке уплаты налогов в отношении доходов по указанным иностранным ценным бумагам, предоставлению подлежит следующая информация:</w:t>
      </w:r>
    </w:p>
    <w:p w:rsidR="0069705D" w:rsidRDefault="0069705D" w:rsidP="0069705D">
      <w:pPr>
        <w:pStyle w:val="a4"/>
        <w:ind w:left="0"/>
        <w:jc w:val="both"/>
      </w:pPr>
      <w:r>
        <w:t>1) о размере налоговой ставки и порядке уплаты налогов в отношении дохода по иностранным ценным бумагам, установленных законодательством иностранного государства для физических лиц - налоговых резидентов Российской Федерации, не являющихся гражданами и (или) налоговыми резидентами такого иностранного государства;</w:t>
      </w:r>
    </w:p>
    <w:p w:rsidR="0069705D" w:rsidRDefault="0069705D" w:rsidP="0069705D">
      <w:pPr>
        <w:pStyle w:val="a4"/>
        <w:ind w:left="0"/>
        <w:jc w:val="both"/>
      </w:pPr>
      <w:r>
        <w:t>2) о размере налоговой ставки и порядке уплаты налогов в отношении дохода по иностранным ценным бумагам, установленных законодательством Российской Федерации для физических лиц - налоговых резидентов Российской Федерации;</w:t>
      </w:r>
    </w:p>
    <w:p w:rsidR="0069705D" w:rsidRDefault="0069705D" w:rsidP="0069705D">
      <w:pPr>
        <w:pStyle w:val="a4"/>
        <w:ind w:left="0"/>
        <w:jc w:val="both"/>
      </w:pPr>
      <w:r>
        <w:t>3) о возможности применения зачета суммы налога, уплаченного (удержанного) в иностранном государстве к сумме налога, подлежащему уплате на территории Российской Федерации (в соответствии с применимыми соглашениями об избежании двойного налогообложения) (при наличии);</w:t>
      </w:r>
    </w:p>
    <w:p w:rsidR="0069705D" w:rsidRDefault="0069705D" w:rsidP="0069705D">
      <w:pPr>
        <w:pStyle w:val="a4"/>
        <w:ind w:left="0"/>
        <w:jc w:val="both"/>
      </w:pPr>
      <w:r>
        <w:t>4) о лице, исполняющем в соответствии с законодательством Российской Федерации функции налогового агента в отношении дохода по иностранной ценной бумаге (при наличии налогового агента) и о необходимости самостоятельного расчета и уплаты налога физическим лицом (в случае, если указанная необходимость предусмотрена российским или иностранным законодательством о налогах и сборах), в том числе, о порядке и сроках подачи налоговой декларации (в случае, если указанная необходимость предусмотрена российским или иностранным законодательством о налогах и сборах).</w:t>
      </w:r>
    </w:p>
    <w:p w:rsidR="0069705D" w:rsidRDefault="0069705D" w:rsidP="0069705D">
      <w:pPr>
        <w:pStyle w:val="a4"/>
        <w:ind w:left="0"/>
        <w:jc w:val="both"/>
      </w:pPr>
      <w:r>
        <w:t xml:space="preserve">Указанная информация предоставляется клиентам путем ее размещения на сайте Брокера в сети «Интернет» </w:t>
      </w:r>
      <w:hyperlink r:id="rId6" w:history="1">
        <w:r w:rsidRPr="00527FD5">
          <w:rPr>
            <w:rStyle w:val="a3"/>
            <w:lang w:val="en-US"/>
          </w:rPr>
          <w:t>www</w:t>
        </w:r>
        <w:r w:rsidRPr="0069705D">
          <w:rPr>
            <w:rStyle w:val="a3"/>
          </w:rPr>
          <w:t>.</w:t>
        </w:r>
        <w:r w:rsidRPr="00527FD5">
          <w:rPr>
            <w:rStyle w:val="a3"/>
            <w:lang w:val="en-US"/>
          </w:rPr>
          <w:t>moscowpartners</w:t>
        </w:r>
        <w:r w:rsidRPr="0069705D">
          <w:rPr>
            <w:rStyle w:val="a3"/>
          </w:rPr>
          <w:t>.</w:t>
        </w:r>
        <w:r w:rsidRPr="00527FD5">
          <w:rPr>
            <w:rStyle w:val="a3"/>
            <w:lang w:val="en-US"/>
          </w:rPr>
          <w:t>com</w:t>
        </w:r>
      </w:hyperlink>
      <w:r w:rsidRPr="0069705D">
        <w:t xml:space="preserve"> </w:t>
      </w:r>
      <w:r>
        <w:t xml:space="preserve">или по усмотрению  Брокера путем размещения на сайте в Брокера в сети «Интернет» </w:t>
      </w:r>
      <w:hyperlink r:id="rId7" w:history="1">
        <w:r w:rsidRPr="00527FD5">
          <w:rPr>
            <w:rStyle w:val="a3"/>
          </w:rPr>
          <w:t>www.moscowpartners.com</w:t>
        </w:r>
      </w:hyperlink>
      <w:r>
        <w:t xml:space="preserve"> гиперссылки на сайт организатора торговли или иного лица в сети «Интернет», на котором раскрыта данная информация</w:t>
      </w:r>
      <w:r w:rsidR="00AA6CE0">
        <w:t>,</w:t>
      </w:r>
      <w:r>
        <w:t xml:space="preserve"> либо</w:t>
      </w:r>
      <w:r w:rsidR="00AA6CE0">
        <w:t>, по усмотрению Брокера,</w:t>
      </w:r>
      <w:r>
        <w:t xml:space="preserve"> иным способом, установленным договором с клиентом</w:t>
      </w:r>
      <w:r w:rsidR="00AA6CE0">
        <w:t xml:space="preserve"> для обмена сообщениями</w:t>
      </w:r>
      <w:r>
        <w:t>.</w:t>
      </w:r>
    </w:p>
    <w:p w:rsidR="00B84D7D" w:rsidRPr="00B84D7D" w:rsidRDefault="00B84D7D" w:rsidP="00B84D7D">
      <w:pPr>
        <w:pStyle w:val="a4"/>
        <w:ind w:left="0"/>
        <w:jc w:val="both"/>
      </w:pPr>
    </w:p>
    <w:p w:rsidR="0031466E" w:rsidRDefault="0031466E" w:rsidP="0031466E">
      <w:pPr>
        <w:pStyle w:val="a4"/>
        <w:numPr>
          <w:ilvl w:val="0"/>
          <w:numId w:val="1"/>
        </w:numPr>
        <w:ind w:left="0" w:firstLine="0"/>
        <w:jc w:val="both"/>
      </w:pPr>
      <w:r>
        <w:t>Брокер предоставляет получателю финансовых услуг по его запросу следующую информацию:</w:t>
      </w:r>
    </w:p>
    <w:p w:rsidR="0031466E" w:rsidRDefault="0031466E" w:rsidP="0031466E">
      <w:pPr>
        <w:pStyle w:val="a4"/>
        <w:numPr>
          <w:ilvl w:val="1"/>
          <w:numId w:val="1"/>
        </w:numPr>
        <w:ind w:left="0" w:firstLine="0"/>
        <w:jc w:val="both"/>
      </w:pPr>
      <w:r>
        <w:t>и</w:t>
      </w:r>
      <w:r w:rsidR="00E57646">
        <w:t>нформацию получателям финансовых услуг при заключении договора о брокерском обслуживании</w:t>
      </w:r>
      <w:r>
        <w:t>;</w:t>
      </w:r>
    </w:p>
    <w:p w:rsidR="00E57646" w:rsidRDefault="00E57646" w:rsidP="0031466E">
      <w:pPr>
        <w:pStyle w:val="a4"/>
        <w:numPr>
          <w:ilvl w:val="1"/>
          <w:numId w:val="1"/>
        </w:numPr>
        <w:ind w:left="0" w:firstLine="0"/>
        <w:jc w:val="both"/>
      </w:pPr>
      <w:r>
        <w:t xml:space="preserve"> </w:t>
      </w:r>
      <w:r w:rsidRPr="00E57646">
        <w:t>информацию о видах и суммах платежей (порядке определения сумм платежей), которые получатель финансовой услуги должен будет уплатить за предоставление ему финансовой услуги, включая информацию о размере вознаграждения (порядке опред</w:t>
      </w:r>
      <w:r w:rsidR="0031466E">
        <w:t>еления размера вознаграждения) Брокера и его уплате;</w:t>
      </w:r>
    </w:p>
    <w:p w:rsidR="00E57646" w:rsidRDefault="0031466E" w:rsidP="0031466E">
      <w:pPr>
        <w:pStyle w:val="a4"/>
        <w:numPr>
          <w:ilvl w:val="1"/>
          <w:numId w:val="1"/>
        </w:numPr>
        <w:ind w:left="0" w:firstLine="0"/>
        <w:jc w:val="both"/>
      </w:pPr>
      <w:r>
        <w:t>в</w:t>
      </w:r>
      <w:r w:rsidR="00E57646">
        <w:t xml:space="preserve"> случае</w:t>
      </w:r>
      <w:r>
        <w:t>, если Б</w:t>
      </w:r>
      <w:r w:rsidR="00E57646">
        <w:t xml:space="preserve">рокер оказывает услуги по приобретению паев паевых инвестиционных фондов, </w:t>
      </w:r>
      <w:r>
        <w:t>Б</w:t>
      </w:r>
      <w:r w:rsidR="00E57646">
        <w:t xml:space="preserve">рокер дополнительно предоставляет получателю финансовых услуг по его запросу следующую информацию: </w:t>
      </w:r>
    </w:p>
    <w:p w:rsidR="00E57646" w:rsidRDefault="00E57646" w:rsidP="0031466E">
      <w:pPr>
        <w:pStyle w:val="a4"/>
        <w:ind w:left="0"/>
        <w:jc w:val="both"/>
      </w:pPr>
      <w:r>
        <w:t>- инвестиционная декларация паевого инвестиционного фонда;</w:t>
      </w:r>
    </w:p>
    <w:p w:rsidR="00E57646" w:rsidRDefault="00E57646" w:rsidP="0031466E">
      <w:pPr>
        <w:pStyle w:val="a4"/>
        <w:ind w:left="0"/>
        <w:jc w:val="both"/>
      </w:pPr>
      <w:r>
        <w:lastRenderedPageBreak/>
        <w:t>- источник получения сведений об изменении расчетной стоимости инвестиционного</w:t>
      </w:r>
      <w:r w:rsidR="0031466E">
        <w:t xml:space="preserve"> </w:t>
      </w:r>
      <w:r>
        <w:t>пая за последние шесть месяцев (в случае предоставления такой информации</w:t>
      </w:r>
      <w:r w:rsidR="0031466E">
        <w:t xml:space="preserve"> </w:t>
      </w:r>
      <w:r>
        <w:t>управляющей компанией паевого инвестиционного фонда и (или) нахождения такой</w:t>
      </w:r>
      <w:r w:rsidR="0031466E">
        <w:t xml:space="preserve"> </w:t>
      </w:r>
      <w:r>
        <w:t>информации в свободном доступе);</w:t>
      </w:r>
    </w:p>
    <w:p w:rsidR="00E57646" w:rsidRDefault="00E57646" w:rsidP="0031466E">
      <w:pPr>
        <w:pStyle w:val="a4"/>
        <w:ind w:left="0"/>
        <w:jc w:val="both"/>
      </w:pPr>
      <w:r>
        <w:t>- размер вознаграждения управляющей компании и общий размер вознаграждения</w:t>
      </w:r>
      <w:r w:rsidR="0031466E">
        <w:t xml:space="preserve"> </w:t>
      </w:r>
      <w:r>
        <w:t>специализированного депозитария, лица, осуществляющего ведение реестра владельцев инвестиционных паев, аудиторской организации, а также оценщика, если инвестиционная декларация паевого инвестиционного фонда предусматривает возможность инвестирования в имущество, оценка которого осуществляется оценщиком;</w:t>
      </w:r>
    </w:p>
    <w:p w:rsidR="00E57646" w:rsidRDefault="00E57646" w:rsidP="0031466E">
      <w:pPr>
        <w:pStyle w:val="a4"/>
        <w:ind w:left="0"/>
        <w:jc w:val="both"/>
      </w:pPr>
      <w:r>
        <w:t xml:space="preserve">- о порядке и сроках выплаты денежной компенсации в связи с погашением </w:t>
      </w:r>
      <w:r w:rsidR="0031466E">
        <w:t>инвестиционных паев;</w:t>
      </w:r>
    </w:p>
    <w:p w:rsidR="00E57646" w:rsidRDefault="0031466E" w:rsidP="0031466E">
      <w:pPr>
        <w:pStyle w:val="a4"/>
        <w:ind w:left="0"/>
        <w:jc w:val="both"/>
      </w:pPr>
      <w:r>
        <w:t>3</w:t>
      </w:r>
      <w:r w:rsidR="00B84D7D">
        <w:t>.4</w:t>
      </w:r>
      <w:r w:rsidR="00E57646">
        <w:t xml:space="preserve">. </w:t>
      </w:r>
      <w:r>
        <w:t>в</w:t>
      </w:r>
      <w:r w:rsidR="00E57646">
        <w:t xml:space="preserve"> случае</w:t>
      </w:r>
      <w:r>
        <w:t>, если Б</w:t>
      </w:r>
      <w:r w:rsidR="00E57646">
        <w:t xml:space="preserve">рокер оказывает услуги по заключению договоров, являющихся </w:t>
      </w:r>
      <w:r>
        <w:t>п</w:t>
      </w:r>
      <w:r w:rsidR="00E57646">
        <w:t xml:space="preserve">роизводными финансовыми инструментами, </w:t>
      </w:r>
      <w:r>
        <w:t>Б</w:t>
      </w:r>
      <w:r w:rsidR="00E57646">
        <w:t>рокер дополнительно предоставляет получателю финансовых услуг по его запросу следующую информацию о таких договорах:</w:t>
      </w:r>
    </w:p>
    <w:p w:rsidR="00E57646" w:rsidRDefault="00E57646" w:rsidP="0031466E">
      <w:pPr>
        <w:pStyle w:val="a4"/>
        <w:ind w:left="0"/>
        <w:jc w:val="both"/>
      </w:pPr>
      <w:r>
        <w:t>- спецификация договора, являющегося производным финансовым инструментом (в</w:t>
      </w:r>
      <w:r w:rsidR="0031466E">
        <w:t xml:space="preserve"> </w:t>
      </w:r>
      <w:r>
        <w:t>случае если базисным активом производного финансового инструмента является другой производный финансовый инструмент, необходимо также предоставить спецификацию такого договора, являющегося производным финансовым инструментом);</w:t>
      </w:r>
    </w:p>
    <w:p w:rsidR="00E57646" w:rsidRDefault="00E57646" w:rsidP="0031466E">
      <w:pPr>
        <w:pStyle w:val="a4"/>
        <w:ind w:left="0"/>
        <w:jc w:val="both"/>
      </w:pPr>
      <w:r>
        <w:t>- сведения о размере суммы денежных средств, которую необходимо уплатить на</w:t>
      </w:r>
      <w:r w:rsidR="0031466E">
        <w:t xml:space="preserve"> </w:t>
      </w:r>
      <w:r>
        <w:t>момент заключения договора, являющегося производным финансовым инструментом;</w:t>
      </w:r>
    </w:p>
    <w:p w:rsidR="00E57646" w:rsidRDefault="00E57646" w:rsidP="0031466E">
      <w:pPr>
        <w:pStyle w:val="a4"/>
        <w:ind w:left="0"/>
        <w:jc w:val="both"/>
      </w:pPr>
      <w:r>
        <w:t>- источник получения сведений о колебании цены (значения) базисного актива за</w:t>
      </w:r>
      <w:r w:rsidR="0031466E">
        <w:t xml:space="preserve"> </w:t>
      </w:r>
      <w:r>
        <w:t>последние шесть месяцев, предшествующих дате заключения договора, являющегося</w:t>
      </w:r>
      <w:r w:rsidR="0031466E">
        <w:t xml:space="preserve"> </w:t>
      </w:r>
      <w:r>
        <w:t>производным финансовым инструментом (в случае наличия у брокера информации о</w:t>
      </w:r>
      <w:r w:rsidR="0031466E">
        <w:t xml:space="preserve"> </w:t>
      </w:r>
      <w:r>
        <w:t>таком источнике).</w:t>
      </w:r>
    </w:p>
    <w:p w:rsidR="0031466E" w:rsidRDefault="0031466E" w:rsidP="0031466E">
      <w:pPr>
        <w:pStyle w:val="a4"/>
        <w:ind w:left="0"/>
        <w:jc w:val="both"/>
      </w:pPr>
    </w:p>
    <w:p w:rsidR="00E57646" w:rsidRDefault="00E57646" w:rsidP="0031466E">
      <w:pPr>
        <w:pStyle w:val="a4"/>
        <w:numPr>
          <w:ilvl w:val="0"/>
          <w:numId w:val="1"/>
        </w:numPr>
        <w:ind w:left="0" w:firstLine="0"/>
        <w:jc w:val="both"/>
      </w:pPr>
      <w:r w:rsidRPr="00E57646">
        <w:t xml:space="preserve">Брокер предоставляет по запросу получателя финансовых услуг информацию, связанную с оказанием финансовой услуги, а также документы и их копии, содержащие указанную информацию, способом, которым был направлен такой запрос, в течение пятнадцати рабочих дней со дня получения запроса получателя финансовых услуг, за исключением случаев, указанных в </w:t>
      </w:r>
      <w:r>
        <w:t>пп. 4.1 и 4.2. настоящего Порядка</w:t>
      </w:r>
      <w:r w:rsidRPr="00E57646">
        <w:t xml:space="preserve">. </w:t>
      </w:r>
    </w:p>
    <w:p w:rsidR="00E57646" w:rsidRDefault="00E57646" w:rsidP="0031466E">
      <w:pPr>
        <w:pStyle w:val="a4"/>
        <w:numPr>
          <w:ilvl w:val="1"/>
          <w:numId w:val="1"/>
        </w:numPr>
        <w:ind w:left="0" w:firstLine="0"/>
        <w:jc w:val="both"/>
      </w:pPr>
      <w:r w:rsidRPr="00E57646">
        <w:t xml:space="preserve">Информация о размере либо </w:t>
      </w:r>
      <w:r w:rsidR="0031466E">
        <w:t>порядке расчета вознаграждения Б</w:t>
      </w:r>
      <w:r w:rsidRPr="00E57646">
        <w:t xml:space="preserve">рокера, иных видах и суммах платежей (порядке определения сумм платежей), которые получатель финансовых услуг должен будет уплатить за предоставление ему финансовой услуги, а также информация, указанная в пунктах </w:t>
      </w:r>
      <w:r w:rsidR="00B84D7D">
        <w:t>3.2.-3.4</w:t>
      </w:r>
      <w:r>
        <w:t>.</w:t>
      </w:r>
      <w:r w:rsidRPr="00E57646">
        <w:t xml:space="preserve"> настоящего </w:t>
      </w:r>
      <w:r>
        <w:t>Порядка</w:t>
      </w:r>
      <w:r w:rsidRPr="00E57646">
        <w:t xml:space="preserve">, </w:t>
      </w:r>
      <w:r>
        <w:t xml:space="preserve">предоставляется </w:t>
      </w:r>
      <w:r w:rsidRPr="00E57646">
        <w:t>в срок, не превышающий пяти</w:t>
      </w:r>
      <w:r>
        <w:t xml:space="preserve"> рабочих дней со дня получения Б</w:t>
      </w:r>
      <w:r w:rsidRPr="00E57646">
        <w:t xml:space="preserve">рокером такого запроса. </w:t>
      </w:r>
    </w:p>
    <w:p w:rsidR="00E57646" w:rsidRDefault="00E57646" w:rsidP="0031466E">
      <w:pPr>
        <w:pStyle w:val="a4"/>
        <w:numPr>
          <w:ilvl w:val="1"/>
          <w:numId w:val="1"/>
        </w:numPr>
        <w:ind w:left="0" w:firstLine="0"/>
        <w:jc w:val="both"/>
      </w:pPr>
      <w:r w:rsidRPr="00E57646">
        <w:t>Заверенная копия договора о брокерском обслуживании, внутренних документов, ссылка на которые содержится в договоре о брокерском обслуживании, действующих на дату, указанную в запросе в рамках срока действия договора о брокерском обслу</w:t>
      </w:r>
      <w:r>
        <w:t>живании, отчеты о деятельности Б</w:t>
      </w:r>
      <w:r w:rsidRPr="00E57646">
        <w:t>рокера, а также документы по сделкам на р</w:t>
      </w:r>
      <w:r>
        <w:t>ынке ценных бумаг, совершенным Б</w:t>
      </w:r>
      <w:r w:rsidRPr="00E57646">
        <w:t>рокером по поручению такого получателя финансовых услуг, должны быть предоставлены в срок, не превышающий тридцать календарных</w:t>
      </w:r>
      <w:r w:rsidR="005050D7">
        <w:t xml:space="preserve"> дней со дня получения запроса К</w:t>
      </w:r>
      <w:r w:rsidRPr="00E57646">
        <w:t xml:space="preserve">лиента, направленного </w:t>
      </w:r>
      <w:r>
        <w:t>Б</w:t>
      </w:r>
      <w:r w:rsidRPr="00E57646">
        <w:t xml:space="preserve">рокеру в любое время, но не позднее пяти лет со дня прекращения договора о брокерском обслуживании, если иной срок не установлен федеральными законами и принятыми в соответствии с ними нормативными актами. </w:t>
      </w:r>
    </w:p>
    <w:p w:rsidR="00E57646" w:rsidRDefault="00E57646" w:rsidP="0031466E">
      <w:pPr>
        <w:pStyle w:val="a4"/>
        <w:numPr>
          <w:ilvl w:val="1"/>
          <w:numId w:val="1"/>
        </w:numPr>
        <w:ind w:left="0" w:firstLine="0"/>
        <w:jc w:val="both"/>
      </w:pPr>
      <w:r w:rsidRPr="00E57646">
        <w:t>Плата, взимаемая за предоставление документа на бумажном носителе, не должна превышать затрат на изготовление и передачу такой копии. Копии документов, предоставляемые на бумажном носителе</w:t>
      </w:r>
      <w:r>
        <w:t>,</w:t>
      </w:r>
      <w:r w:rsidRPr="00E57646">
        <w:t xml:space="preserve"> должны быть</w:t>
      </w:r>
      <w:r>
        <w:t xml:space="preserve"> заверены уполномоченным лицом Б</w:t>
      </w:r>
      <w:r w:rsidRPr="00E57646">
        <w:t xml:space="preserve">рокера. </w:t>
      </w:r>
    </w:p>
    <w:p w:rsidR="00E57646" w:rsidRDefault="00E57646" w:rsidP="0031466E">
      <w:pPr>
        <w:pStyle w:val="a4"/>
        <w:numPr>
          <w:ilvl w:val="1"/>
          <w:numId w:val="1"/>
        </w:numPr>
        <w:ind w:left="0" w:firstLine="0"/>
        <w:jc w:val="both"/>
      </w:pPr>
      <w:r>
        <w:t xml:space="preserve">Информация предоставляется </w:t>
      </w:r>
      <w:r w:rsidR="0031466E">
        <w:t xml:space="preserve">Брокером </w:t>
      </w:r>
      <w:r>
        <w:t xml:space="preserve">на русском языке в доступной форме (с использованием удобочитаемых шрифтов, форматов) с разъяснением специальных терминов (в </w:t>
      </w:r>
      <w:r>
        <w:lastRenderedPageBreak/>
        <w:t xml:space="preserve">случае их наличия), значения которых не определены в федеральных законах и принятых в соответствии с ними нормативных актах. </w:t>
      </w:r>
    </w:p>
    <w:p w:rsidR="00E57646" w:rsidRDefault="00E57646" w:rsidP="0031466E">
      <w:pPr>
        <w:pStyle w:val="a4"/>
        <w:numPr>
          <w:ilvl w:val="1"/>
          <w:numId w:val="1"/>
        </w:numPr>
        <w:ind w:left="0" w:firstLine="0"/>
        <w:jc w:val="both"/>
      </w:pPr>
      <w:r>
        <w:t>Документы, содержащие информацию об иностранных финансовых инструментах, том числе включающие описание прав, предоставляемых (закрепляемых, удостоверяемых) такими иностранными финансовыми инструментами, по решению Брокера предоставляются на используемом на финансовом рынке иностранном языке без перевода на русский язык, за исключением случаев, когда законодательством Российской Федерации установлено требование о предоставлении таких документов с переводом на русский язык.</w:t>
      </w:r>
    </w:p>
    <w:p w:rsidR="00E57646" w:rsidRDefault="00E57646" w:rsidP="0031466E">
      <w:pPr>
        <w:pStyle w:val="a4"/>
        <w:numPr>
          <w:ilvl w:val="1"/>
          <w:numId w:val="1"/>
        </w:numPr>
        <w:ind w:left="0" w:firstLine="0"/>
        <w:jc w:val="both"/>
      </w:pPr>
      <w:r>
        <w:t xml:space="preserve">В случае предоставления информации на бумажном носителе, Брокер </w:t>
      </w:r>
      <w:r w:rsidR="0031466E">
        <w:t>р</w:t>
      </w:r>
      <w:r>
        <w:t>уководствуется санитарными правилами и нормативами, предъявляемыми к книжным</w:t>
      </w:r>
      <w:r w:rsidR="0031466E">
        <w:t xml:space="preserve"> </w:t>
      </w:r>
      <w:r>
        <w:t>изданиям для взрослых.</w:t>
      </w:r>
    </w:p>
    <w:p w:rsidR="0031466E" w:rsidRDefault="0031466E" w:rsidP="0031466E">
      <w:pPr>
        <w:pStyle w:val="a4"/>
        <w:ind w:left="1080"/>
        <w:jc w:val="both"/>
      </w:pPr>
    </w:p>
    <w:p w:rsidR="00E57646" w:rsidRDefault="00E57646" w:rsidP="0031466E">
      <w:pPr>
        <w:pStyle w:val="a4"/>
        <w:numPr>
          <w:ilvl w:val="0"/>
          <w:numId w:val="1"/>
        </w:numPr>
        <w:ind w:left="0" w:firstLine="0"/>
      </w:pPr>
      <w:r w:rsidRPr="0031466E">
        <w:t>Порядок приема документов</w:t>
      </w:r>
      <w:r>
        <w:t xml:space="preserve"> </w:t>
      </w:r>
      <w:r w:rsidR="0031466E">
        <w:t xml:space="preserve">Брокером </w:t>
      </w:r>
      <w:r>
        <w:t xml:space="preserve">в местах обслуживания получателей финансовых услуг. </w:t>
      </w:r>
    </w:p>
    <w:p w:rsidR="00E57646" w:rsidRDefault="0031466E" w:rsidP="0031466E">
      <w:pPr>
        <w:pStyle w:val="a4"/>
        <w:ind w:left="0"/>
        <w:jc w:val="both"/>
      </w:pPr>
      <w:r>
        <w:t xml:space="preserve">5.1. </w:t>
      </w:r>
      <w:r w:rsidR="00E57646">
        <w:t>Место обслуживания, предназначенное для заключения договоров на брокерское обслуживание, оказания финансовых услуг, приема документов, связанных с оказанием финансовых услуг, является:</w:t>
      </w:r>
    </w:p>
    <w:p w:rsidR="00E57646" w:rsidRDefault="00E57646" w:rsidP="0031466E">
      <w:pPr>
        <w:pStyle w:val="a4"/>
        <w:ind w:left="0"/>
        <w:jc w:val="both"/>
      </w:pPr>
      <w:r>
        <w:t>- офис ООО «Московские партнеры», адрес – 123056, г. Москва, Малый Тишинский пер., д.23, стр.1, комн. 1-18;</w:t>
      </w:r>
    </w:p>
    <w:p w:rsidR="00E57646" w:rsidRDefault="00E57646" w:rsidP="0031466E">
      <w:pPr>
        <w:pStyle w:val="a4"/>
        <w:ind w:left="0"/>
        <w:jc w:val="both"/>
      </w:pPr>
      <w:r>
        <w:t xml:space="preserve">- официальный сайт ООО «Московские партнеры» в информационно-телекоммуникационной сети «Интернет» - </w:t>
      </w:r>
      <w:hyperlink r:id="rId8" w:history="1">
        <w:r w:rsidR="0031466E" w:rsidRPr="00D9343F">
          <w:rPr>
            <w:rStyle w:val="a3"/>
          </w:rPr>
          <w:t>www.moscowpartners.com</w:t>
        </w:r>
      </w:hyperlink>
    </w:p>
    <w:p w:rsidR="00E57646" w:rsidRDefault="00E57646" w:rsidP="0031466E">
      <w:pPr>
        <w:pStyle w:val="a4"/>
        <w:ind w:left="0"/>
        <w:jc w:val="both"/>
      </w:pPr>
      <w:r>
        <w:t xml:space="preserve">Дни приема получателей финансовых услуг: понедельник – пятница с 10.30 до 17.30 без перерыва на обед (за исключением нерабочих праздничных дней). </w:t>
      </w:r>
    </w:p>
    <w:p w:rsidR="0031466E" w:rsidRDefault="0031466E" w:rsidP="00B84D7D">
      <w:pPr>
        <w:pStyle w:val="a4"/>
        <w:numPr>
          <w:ilvl w:val="1"/>
          <w:numId w:val="4"/>
        </w:numPr>
        <w:ind w:left="0" w:firstLine="0"/>
        <w:jc w:val="both"/>
      </w:pPr>
      <w:r>
        <w:t>Установл</w:t>
      </w:r>
      <w:r w:rsidR="005050D7">
        <w:t>ение личности (аутентификации) К</w:t>
      </w:r>
      <w:r>
        <w:t>лиента в случае обмен</w:t>
      </w:r>
      <w:r w:rsidR="005050D7">
        <w:t>а информацией между Брокером и К</w:t>
      </w:r>
      <w:r>
        <w:t>лиентом посредством телефонной связи, обмена электронными документами или иных каналов связи осуществляется способами, предусмотренными договором о брокерском обслуживании и (или) внутренними документами Брокера.</w:t>
      </w:r>
    </w:p>
    <w:p w:rsidR="0031466E" w:rsidRDefault="0031466E" w:rsidP="00B84D7D">
      <w:pPr>
        <w:pStyle w:val="a4"/>
        <w:numPr>
          <w:ilvl w:val="1"/>
          <w:numId w:val="4"/>
        </w:numPr>
        <w:ind w:left="0" w:firstLine="0"/>
        <w:jc w:val="both"/>
      </w:pPr>
      <w:r>
        <w:t xml:space="preserve">Получатель финансовых услуг до заключения договора о брокерском обслуживании </w:t>
      </w:r>
      <w:r w:rsidRPr="0031466E">
        <w:t xml:space="preserve">обязан предоставить </w:t>
      </w:r>
      <w:r>
        <w:t>Брокеру</w:t>
      </w:r>
      <w:r w:rsidRPr="0031466E">
        <w:t xml:space="preserve"> документы, перечень которых содержится на </w:t>
      </w:r>
      <w:r w:rsidRPr="00B84D7D">
        <w:rPr>
          <w:lang w:val="en-US"/>
        </w:rPr>
        <w:t>C</w:t>
      </w:r>
      <w:r>
        <w:t>айте Брокера, при этом с</w:t>
      </w:r>
      <w:r w:rsidRPr="0031466E">
        <w:t xml:space="preserve">писок </w:t>
      </w:r>
      <w:r>
        <w:t xml:space="preserve">перечисленных </w:t>
      </w:r>
      <w:r w:rsidRPr="0031466E">
        <w:t>документов</w:t>
      </w:r>
      <w:r>
        <w:t xml:space="preserve"> </w:t>
      </w:r>
      <w:r w:rsidRPr="0031466E">
        <w:t>не является исчерпывающим</w:t>
      </w:r>
      <w:r>
        <w:t xml:space="preserve">, в том числе по требованию Брокера должны быть предоставлены </w:t>
      </w:r>
      <w:r w:rsidRPr="0031466E">
        <w:t>другие документы (в том числе доверенности)</w:t>
      </w:r>
      <w:r>
        <w:t>,</w:t>
      </w:r>
      <w:r w:rsidRPr="0031466E">
        <w:t xml:space="preserve"> </w:t>
      </w:r>
      <w:r>
        <w:t>н</w:t>
      </w:r>
      <w:r w:rsidRPr="0031466E">
        <w:t>еобходимые для</w:t>
      </w:r>
      <w:r>
        <w:t xml:space="preserve"> </w:t>
      </w:r>
      <w:r w:rsidRPr="0031466E">
        <w:t xml:space="preserve">идентификации </w:t>
      </w:r>
      <w:r>
        <w:t>получателя финансовых услуг</w:t>
      </w:r>
      <w:r w:rsidRPr="0031466E">
        <w:t xml:space="preserve">, его уполномоченных лиц, </w:t>
      </w:r>
      <w:r>
        <w:t xml:space="preserve">бенефициарных владельцев и </w:t>
      </w:r>
      <w:r w:rsidRPr="0031466E">
        <w:t>выгодоприобретателей</w:t>
      </w:r>
      <w:r>
        <w:t>.</w:t>
      </w:r>
    </w:p>
    <w:p w:rsidR="00E57646" w:rsidRDefault="00E57646" w:rsidP="00B84D7D">
      <w:pPr>
        <w:pStyle w:val="a4"/>
        <w:numPr>
          <w:ilvl w:val="1"/>
          <w:numId w:val="4"/>
        </w:numPr>
        <w:ind w:left="0" w:firstLine="0"/>
        <w:jc w:val="both"/>
      </w:pPr>
      <w:r w:rsidRPr="004E12B5">
        <w:t>Прием документов получателей финансовых услуг и непосредственное взаимодействие с получателями финансовых услуг осуществляется сотрудниками подразделения Брокера – Департамент</w:t>
      </w:r>
      <w:r w:rsidR="005050D7">
        <w:t>а по работе с К</w:t>
      </w:r>
      <w:r w:rsidR="004E12B5" w:rsidRPr="004E12B5">
        <w:t>лиентами.</w:t>
      </w:r>
    </w:p>
    <w:p w:rsidR="004E12B5" w:rsidRPr="00603404" w:rsidRDefault="004E12B5" w:rsidP="00603404">
      <w:pPr>
        <w:pStyle w:val="a4"/>
        <w:numPr>
          <w:ilvl w:val="1"/>
          <w:numId w:val="4"/>
        </w:numPr>
        <w:ind w:left="0" w:firstLine="0"/>
        <w:jc w:val="both"/>
      </w:pPr>
      <w:r w:rsidRPr="00603404">
        <w:t>Сотрудник Департа</w:t>
      </w:r>
      <w:r w:rsidR="005050D7" w:rsidRPr="00603404">
        <w:t>мента по работе с к</w:t>
      </w:r>
      <w:r w:rsidRPr="00603404">
        <w:t>лиентами, ответственный за прием документов,</w:t>
      </w:r>
      <w:r w:rsidRPr="00B84D7D">
        <w:t xml:space="preserve"> фиксирует прием (регистрацию) документов получателя финансовых ус</w:t>
      </w:r>
      <w:r w:rsidR="005050D7" w:rsidRPr="00B84D7D">
        <w:t>луг в Журнале взаимоде</w:t>
      </w:r>
      <w:r w:rsidR="005050D7">
        <w:t>йствия с К</w:t>
      </w:r>
      <w:r w:rsidRPr="004E12B5">
        <w:t>лиентами. В случае предоставления неполного комплекта документов</w:t>
      </w:r>
      <w:r>
        <w:t>, получатель</w:t>
      </w:r>
      <w:r w:rsidRPr="004E12B5">
        <w:t xml:space="preserve"> финансовых услуг уведомл</w:t>
      </w:r>
      <w:r>
        <w:t>яется о необходимости дополнительного предоставления документов</w:t>
      </w:r>
      <w:r w:rsidRPr="004E12B5">
        <w:t xml:space="preserve"> в простой письменной и/или устной форме</w:t>
      </w:r>
      <w:r>
        <w:t xml:space="preserve">.  </w:t>
      </w:r>
      <w:r w:rsidRPr="004E12B5">
        <w:t>В слу</w:t>
      </w:r>
      <w:r>
        <w:t>чае отказа в приеме документов с</w:t>
      </w:r>
      <w:r w:rsidRPr="004E12B5">
        <w:t>отр</w:t>
      </w:r>
      <w:r w:rsidR="005050D7">
        <w:t>удник Департамента по работе с к</w:t>
      </w:r>
      <w:r w:rsidRPr="004E12B5">
        <w:t>лиентами</w:t>
      </w:r>
      <w:r>
        <w:t xml:space="preserve"> </w:t>
      </w:r>
      <w:r w:rsidRPr="004E12B5">
        <w:t>предоставляет получателю финансовых услуг мотивированный отказ в простой письменной и/или устной форме одним из способов взаимодействия, предусмотренными Регламентом осуществления брокерской деятельности ООО «Московские партнеры».</w:t>
      </w:r>
    </w:p>
    <w:p w:rsidR="0031466E" w:rsidRDefault="0031466E" w:rsidP="00B84D7D">
      <w:pPr>
        <w:pStyle w:val="a4"/>
        <w:numPr>
          <w:ilvl w:val="1"/>
          <w:numId w:val="4"/>
        </w:numPr>
        <w:ind w:left="0" w:firstLine="0"/>
        <w:jc w:val="both"/>
      </w:pPr>
      <w:r w:rsidRPr="0031466E">
        <w:t xml:space="preserve">В целях обеспечения возможности заключения договоров на брокерское обслуживание с получателями финансовых услуг с ограниченными возможностями, </w:t>
      </w:r>
      <w:r>
        <w:t xml:space="preserve">Брокером </w:t>
      </w:r>
      <w:r w:rsidRPr="0031466E">
        <w:t xml:space="preserve">предусмотрено дублирование для инвалидов по зрению звуковой и зрительной информации; возможность </w:t>
      </w:r>
      <w:r w:rsidRPr="0031466E">
        <w:lastRenderedPageBreak/>
        <w:t>допуска сурдопереводчика (тифлосурдопереводчика); возможность увеличения и звукового воспроизведения текста договора на брокерское обслуживание и иных документов, подписываемых получателем финансовых услуг, возможность печати документов с использованием увеличенного размера шрифта и оказание иной помощи в преодолении барьеров, препятствующих получению лицами с ограниченными возможностями информации о брокере и финансовых услугах наравне с другими лицами.</w:t>
      </w:r>
    </w:p>
    <w:p w:rsidR="00391C39" w:rsidRDefault="00391C39" w:rsidP="00391C39">
      <w:pPr>
        <w:pStyle w:val="a4"/>
        <w:ind w:left="0"/>
        <w:jc w:val="both"/>
      </w:pPr>
    </w:p>
    <w:p w:rsidR="0031466E" w:rsidRPr="00B84D7D" w:rsidRDefault="0031466E" w:rsidP="00B84D7D">
      <w:pPr>
        <w:pStyle w:val="a4"/>
        <w:numPr>
          <w:ilvl w:val="0"/>
          <w:numId w:val="4"/>
        </w:numPr>
      </w:pPr>
      <w:r w:rsidRPr="00B84D7D">
        <w:t>Способы и порядок изменения условий договора о брокерском обслуживании</w:t>
      </w:r>
      <w:r w:rsidR="00391C39" w:rsidRPr="00B84D7D">
        <w:t>.</w:t>
      </w:r>
    </w:p>
    <w:p w:rsidR="0031466E" w:rsidRPr="0031466E" w:rsidRDefault="0031466E" w:rsidP="00B84D7D">
      <w:pPr>
        <w:pStyle w:val="a4"/>
        <w:numPr>
          <w:ilvl w:val="1"/>
          <w:numId w:val="4"/>
        </w:numPr>
        <w:ind w:left="0" w:firstLine="0"/>
        <w:jc w:val="both"/>
      </w:pPr>
      <w:r w:rsidRPr="0031466E">
        <w:t>При заключении договора о брокерском обслуживании получатель финансовых услуг имеет возможность ознакомиться с внутренними документами Брокера и изменениями в такие документы, ссылка на которые содержится в договоре о брокерском обслуживании</w:t>
      </w:r>
      <w:r w:rsidR="00391C39">
        <w:t>, на Сайте Брокера и в месте обслуживания получателей финансовых услуг</w:t>
      </w:r>
      <w:r w:rsidRPr="0031466E">
        <w:t xml:space="preserve">. </w:t>
      </w:r>
    </w:p>
    <w:p w:rsidR="00E57646" w:rsidRDefault="0031466E" w:rsidP="00B84D7D">
      <w:pPr>
        <w:pStyle w:val="a4"/>
        <w:numPr>
          <w:ilvl w:val="1"/>
          <w:numId w:val="4"/>
        </w:numPr>
        <w:ind w:left="0" w:firstLine="0"/>
        <w:jc w:val="both"/>
      </w:pPr>
      <w:r>
        <w:t xml:space="preserve">Брокер вправе в одностороннем порядке вносить изменения и дополнения в регламент </w:t>
      </w:r>
      <w:r w:rsidR="00391C39">
        <w:t>оказания брокерских услуг, устанавливающий</w:t>
      </w:r>
      <w:r w:rsidR="00391C39" w:rsidRPr="00391C39">
        <w:t xml:space="preserve"> общий порядок при осуществлении Брокером брокерской деятельности и иных сопутствующих услуг, </w:t>
      </w:r>
      <w:r>
        <w:t>и внутренние документы Брокера, ссылка на которые содержится в договоре о брокерском обслуживании. Такие изменения и дополнения утверждаются уполномоченным органом</w:t>
      </w:r>
      <w:r w:rsidR="005050D7">
        <w:t xml:space="preserve"> Брокера. Какого-либо согласия К</w:t>
      </w:r>
      <w:r>
        <w:t>лиента на внесение Брокером изменений и дополнений не требуется. Брокер уведомля</w:t>
      </w:r>
      <w:r w:rsidR="00391C39">
        <w:t xml:space="preserve">ет </w:t>
      </w:r>
      <w:r w:rsidR="005050D7">
        <w:t>К</w:t>
      </w:r>
      <w:r>
        <w:t xml:space="preserve">лиентов о внесении изменений и дополнений в регламент и внутренние документы Брокера, </w:t>
      </w:r>
      <w:r w:rsidRPr="0031466E">
        <w:t>ссылка на которые содержится в дого</w:t>
      </w:r>
      <w:r>
        <w:t xml:space="preserve">воре о брокерском обслуживании, путем размещения текста соответствующих изменений и дополнений или новой редакции </w:t>
      </w:r>
      <w:r w:rsidR="00391C39">
        <w:t xml:space="preserve">документов </w:t>
      </w:r>
      <w:r>
        <w:t xml:space="preserve">на Сайте Брокера. </w:t>
      </w:r>
    </w:p>
    <w:p w:rsidR="00E57646" w:rsidRDefault="00F5629F" w:rsidP="00F5629F">
      <w:pPr>
        <w:jc w:val="both"/>
      </w:pPr>
      <w:r>
        <w:t xml:space="preserve">7. </w:t>
      </w:r>
      <w:r w:rsidR="00E57646">
        <w:t xml:space="preserve">Информация, размещенная на официальном сайте брокера в сети </w:t>
      </w:r>
      <w:r w:rsidR="00E57646" w:rsidRPr="00E57646">
        <w:t xml:space="preserve">«Интернет» - </w:t>
      </w:r>
      <w:hyperlink r:id="rId9" w:history="1">
        <w:r w:rsidR="00E57646" w:rsidRPr="00D9343F">
          <w:rPr>
            <w:rStyle w:val="a3"/>
          </w:rPr>
          <w:t>www.moscowpartners.com</w:t>
        </w:r>
      </w:hyperlink>
      <w:r w:rsidR="00E57646">
        <w:t xml:space="preserve">, включая информацию, содержащуюся в декларациях о рисках, доступна круглосуточно и бесплатно получателю финансовых услуг для ознакомления и использования, за исключением времени проведения профилактических работ, во время которых сайт брокера в сети «Интернет» не доступен для посещения. Информация предоставляется </w:t>
      </w:r>
      <w:r>
        <w:t xml:space="preserve">Брокером </w:t>
      </w:r>
      <w:r w:rsidR="00E57646">
        <w:t>с использованием бесплатного и широко распространенного программного обеспечения.</w:t>
      </w:r>
    </w:p>
    <w:p w:rsidR="00E57646" w:rsidRPr="00E57646" w:rsidRDefault="00E57646" w:rsidP="00E57646"/>
    <w:p w:rsidR="00E57646" w:rsidRPr="00E57646" w:rsidRDefault="00E57646" w:rsidP="00E57646"/>
    <w:p w:rsidR="00E57646" w:rsidRPr="00E57646" w:rsidRDefault="00E57646" w:rsidP="00E57646"/>
    <w:sectPr w:rsidR="00E57646" w:rsidRPr="00E576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27F75"/>
    <w:multiLevelType w:val="hybridMultilevel"/>
    <w:tmpl w:val="83CC9A66"/>
    <w:lvl w:ilvl="0" w:tplc="7772AD4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411B787C"/>
    <w:multiLevelType w:val="multilevel"/>
    <w:tmpl w:val="79228332"/>
    <w:lvl w:ilvl="0">
      <w:start w:val="5"/>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3492524"/>
    <w:multiLevelType w:val="multilevel"/>
    <w:tmpl w:val="C600669E"/>
    <w:lvl w:ilvl="0">
      <w:start w:val="1"/>
      <w:numFmt w:val="decimal"/>
      <w:lvlText w:val="%1."/>
      <w:lvlJc w:val="left"/>
      <w:pPr>
        <w:ind w:left="149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CC44282"/>
    <w:multiLevelType w:val="multilevel"/>
    <w:tmpl w:val="4AA4E080"/>
    <w:lvl w:ilvl="0">
      <w:start w:val="5"/>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01"/>
    <w:rsid w:val="001927C4"/>
    <w:rsid w:val="0031466E"/>
    <w:rsid w:val="00391C39"/>
    <w:rsid w:val="00421FD4"/>
    <w:rsid w:val="004E12B5"/>
    <w:rsid w:val="005050D7"/>
    <w:rsid w:val="00603404"/>
    <w:rsid w:val="0069705D"/>
    <w:rsid w:val="009D2CB2"/>
    <w:rsid w:val="00A20F36"/>
    <w:rsid w:val="00AA6CE0"/>
    <w:rsid w:val="00B00568"/>
    <w:rsid w:val="00B03AB3"/>
    <w:rsid w:val="00B84D7D"/>
    <w:rsid w:val="00D764D9"/>
    <w:rsid w:val="00E57646"/>
    <w:rsid w:val="00F0620F"/>
    <w:rsid w:val="00F5629F"/>
    <w:rsid w:val="00FE0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44BF5-BA24-4F14-BD75-24BDE062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57646"/>
    <w:rPr>
      <w:color w:val="0000FF" w:themeColor="hyperlink"/>
      <w:u w:val="single"/>
    </w:rPr>
  </w:style>
  <w:style w:type="paragraph" w:styleId="a4">
    <w:name w:val="List Paragraph"/>
    <w:basedOn w:val="a"/>
    <w:uiPriority w:val="34"/>
    <w:qFormat/>
    <w:rsid w:val="00E57646"/>
    <w:pPr>
      <w:ind w:left="720"/>
      <w:contextualSpacing/>
    </w:pPr>
  </w:style>
  <w:style w:type="paragraph" w:styleId="a5">
    <w:name w:val="Balloon Text"/>
    <w:basedOn w:val="a"/>
    <w:link w:val="a6"/>
    <w:uiPriority w:val="99"/>
    <w:semiHidden/>
    <w:unhideWhenUsed/>
    <w:rsid w:val="001927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2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cowpartners.com" TargetMode="External"/><Relationship Id="rId3" Type="http://schemas.openxmlformats.org/officeDocument/2006/relationships/settings" Target="settings.xml"/><Relationship Id="rId7" Type="http://schemas.openxmlformats.org/officeDocument/2006/relationships/hyperlink" Target="http://www.moscowpartn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scowpartners.com" TargetMode="External"/><Relationship Id="rId11" Type="http://schemas.openxmlformats.org/officeDocument/2006/relationships/theme" Target="theme/theme1.xml"/><Relationship Id="rId5" Type="http://schemas.openxmlformats.org/officeDocument/2006/relationships/hyperlink" Target="http://www.moscowpartner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scowpartner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2812</Words>
  <Characters>16032</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n.sakovskaya</cp:lastModifiedBy>
  <cp:revision>2</cp:revision>
  <cp:lastPrinted>2019-12-02T08:00:00Z</cp:lastPrinted>
  <dcterms:created xsi:type="dcterms:W3CDTF">2021-10-01T15:36:00Z</dcterms:created>
  <dcterms:modified xsi:type="dcterms:W3CDTF">2021-10-01T15:36:00Z</dcterms:modified>
</cp:coreProperties>
</file>