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B0" w:rsidRDefault="00D131B0" w:rsidP="00A823D5">
      <w:pPr>
        <w:jc w:val="right"/>
        <w:rPr>
          <w:b/>
          <w:sz w:val="16"/>
          <w:szCs w:val="16"/>
        </w:rPr>
      </w:pPr>
    </w:p>
    <w:p w:rsidR="00D131B0" w:rsidRPr="00610ED6" w:rsidRDefault="00D131B0" w:rsidP="00D131B0">
      <w:pPr>
        <w:jc w:val="right"/>
        <w:rPr>
          <w:sz w:val="22"/>
          <w:szCs w:val="22"/>
        </w:rPr>
      </w:pPr>
      <w:r w:rsidRPr="00610ED6">
        <w:rPr>
          <w:sz w:val="22"/>
          <w:szCs w:val="22"/>
        </w:rPr>
        <w:t>Утверждено Советом директоров ООО «Московские партнеры»</w:t>
      </w:r>
    </w:p>
    <w:p w:rsidR="00D131B0" w:rsidRPr="00610ED6" w:rsidRDefault="00D131B0" w:rsidP="00D131B0">
      <w:pPr>
        <w:jc w:val="right"/>
        <w:rPr>
          <w:sz w:val="22"/>
          <w:szCs w:val="22"/>
        </w:rPr>
      </w:pPr>
      <w:r w:rsidRPr="00610ED6">
        <w:rPr>
          <w:sz w:val="22"/>
          <w:szCs w:val="22"/>
        </w:rPr>
        <w:t xml:space="preserve">Протокол </w:t>
      </w:r>
      <w:r w:rsidR="00E50508" w:rsidRPr="00610ED6">
        <w:rPr>
          <w:sz w:val="22"/>
          <w:szCs w:val="22"/>
        </w:rPr>
        <w:t>№</w:t>
      </w:r>
      <w:r w:rsidR="00E50508">
        <w:rPr>
          <w:sz w:val="22"/>
          <w:szCs w:val="22"/>
        </w:rPr>
        <w:t>09/08</w:t>
      </w:r>
      <w:bookmarkStart w:id="0" w:name="_GoBack"/>
      <w:bookmarkEnd w:id="0"/>
      <w:r w:rsidR="00E50508" w:rsidRPr="00610ED6">
        <w:rPr>
          <w:sz w:val="22"/>
          <w:szCs w:val="22"/>
        </w:rPr>
        <w:t xml:space="preserve"> </w:t>
      </w:r>
      <w:r w:rsidRPr="00610ED6">
        <w:rPr>
          <w:sz w:val="22"/>
          <w:szCs w:val="22"/>
        </w:rPr>
        <w:t xml:space="preserve">от   </w:t>
      </w:r>
      <w:r w:rsidR="001D19A1">
        <w:rPr>
          <w:sz w:val="22"/>
          <w:szCs w:val="22"/>
        </w:rPr>
        <w:t>09</w:t>
      </w:r>
      <w:r w:rsidR="001D19A1" w:rsidRPr="00610ED6">
        <w:rPr>
          <w:sz w:val="22"/>
          <w:szCs w:val="22"/>
        </w:rPr>
        <w:t>.</w:t>
      </w:r>
      <w:r w:rsidRPr="00610ED6">
        <w:rPr>
          <w:sz w:val="22"/>
          <w:szCs w:val="22"/>
        </w:rPr>
        <w:t>08.2021 г.</w:t>
      </w:r>
    </w:p>
    <w:p w:rsidR="00D131B0" w:rsidRDefault="00D131B0" w:rsidP="00D131B0">
      <w:pPr>
        <w:jc w:val="right"/>
        <w:rPr>
          <w:b/>
          <w:sz w:val="16"/>
          <w:szCs w:val="16"/>
        </w:rPr>
      </w:pPr>
    </w:p>
    <w:p w:rsidR="00A823D5" w:rsidRPr="00FA3043" w:rsidRDefault="00A823D5" w:rsidP="00A823D5">
      <w:pPr>
        <w:jc w:val="right"/>
        <w:rPr>
          <w:b/>
          <w:sz w:val="16"/>
          <w:szCs w:val="16"/>
        </w:rPr>
      </w:pPr>
      <w:r w:rsidRPr="00FA3043">
        <w:rPr>
          <w:b/>
          <w:sz w:val="16"/>
          <w:szCs w:val="16"/>
        </w:rPr>
        <w:t>Приложение №2</w:t>
      </w:r>
    </w:p>
    <w:p w:rsidR="00FB4F64" w:rsidRPr="007615A6" w:rsidRDefault="00A823D5" w:rsidP="00FB4F64">
      <w:pPr>
        <w:jc w:val="right"/>
        <w:rPr>
          <w:b/>
          <w:sz w:val="16"/>
          <w:szCs w:val="16"/>
        </w:rPr>
      </w:pPr>
      <w:r w:rsidRPr="00FA3043">
        <w:rPr>
          <w:b/>
          <w:sz w:val="16"/>
          <w:szCs w:val="16"/>
        </w:rPr>
        <w:t xml:space="preserve">к </w:t>
      </w:r>
      <w:r w:rsidR="00FB4F64" w:rsidRPr="007615A6">
        <w:rPr>
          <w:b/>
          <w:sz w:val="16"/>
          <w:szCs w:val="16"/>
        </w:rPr>
        <w:t>Условиям осуществления депозитарной деятельности Общества с ограниченной ответственностью «Московские партнеры»</w:t>
      </w:r>
    </w:p>
    <w:p w:rsidR="00FB4F64" w:rsidRPr="007615A6" w:rsidRDefault="00FB4F64" w:rsidP="00FB4F64">
      <w:pPr>
        <w:jc w:val="right"/>
        <w:rPr>
          <w:b/>
          <w:sz w:val="16"/>
          <w:szCs w:val="16"/>
        </w:rPr>
      </w:pPr>
      <w:r w:rsidRPr="007615A6">
        <w:rPr>
          <w:b/>
          <w:sz w:val="16"/>
          <w:szCs w:val="16"/>
        </w:rPr>
        <w:t>(Клиентскому регламенту)</w:t>
      </w:r>
    </w:p>
    <w:p w:rsidR="00A823D5" w:rsidRPr="00FA3043" w:rsidRDefault="00A823D5" w:rsidP="00A823D5">
      <w:pPr>
        <w:ind w:left="540" w:firstLine="0"/>
        <w:jc w:val="center"/>
        <w:rPr>
          <w:b/>
          <w:sz w:val="28"/>
          <w:szCs w:val="28"/>
        </w:rPr>
      </w:pPr>
    </w:p>
    <w:p w:rsidR="00A823D5" w:rsidRPr="00FA3043" w:rsidRDefault="00A823D5" w:rsidP="00A823D5">
      <w:pPr>
        <w:ind w:left="540" w:firstLine="0"/>
        <w:jc w:val="center"/>
        <w:rPr>
          <w:b/>
          <w:sz w:val="28"/>
          <w:szCs w:val="28"/>
        </w:rPr>
      </w:pPr>
      <w:r w:rsidRPr="00FA3043">
        <w:rPr>
          <w:b/>
          <w:sz w:val="28"/>
          <w:szCs w:val="28"/>
        </w:rPr>
        <w:t xml:space="preserve">Тарифы на услуги </w:t>
      </w:r>
      <w:r>
        <w:rPr>
          <w:b/>
          <w:sz w:val="28"/>
          <w:szCs w:val="28"/>
        </w:rPr>
        <w:t>Депозитария ООО</w:t>
      </w:r>
      <w:r w:rsidRPr="00FA3043">
        <w:rPr>
          <w:b/>
          <w:sz w:val="28"/>
          <w:szCs w:val="28"/>
        </w:rPr>
        <w:t xml:space="preserve"> «Московские партнеры»</w:t>
      </w:r>
    </w:p>
    <w:p w:rsidR="00A823D5" w:rsidRPr="0019198F" w:rsidRDefault="00A823D5" w:rsidP="00A823D5">
      <w:pPr>
        <w:ind w:firstLine="0"/>
        <w:rPr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287"/>
        <w:gridCol w:w="1677"/>
        <w:gridCol w:w="3700"/>
      </w:tblGrid>
      <w:tr w:rsidR="00A823D5" w:rsidRPr="0019198F" w:rsidTr="004127DF">
        <w:tc>
          <w:tcPr>
            <w:tcW w:w="4818" w:type="dxa"/>
            <w:gridSpan w:val="2"/>
            <w:vAlign w:val="center"/>
          </w:tcPr>
          <w:p w:rsidR="00A823D5" w:rsidRPr="0019198F" w:rsidRDefault="00A823D5" w:rsidP="00266A12">
            <w:pPr>
              <w:rPr>
                <w:b/>
              </w:rPr>
            </w:pPr>
            <w:r w:rsidRPr="0019198F">
              <w:rPr>
                <w:b/>
              </w:rPr>
              <w:t>Наименование</w:t>
            </w:r>
          </w:p>
        </w:tc>
        <w:tc>
          <w:tcPr>
            <w:tcW w:w="1677" w:type="dxa"/>
            <w:vAlign w:val="center"/>
          </w:tcPr>
          <w:p w:rsidR="00A823D5" w:rsidRPr="0019198F" w:rsidRDefault="00A823D5" w:rsidP="00266A12">
            <w:pPr>
              <w:ind w:firstLine="0"/>
              <w:jc w:val="center"/>
              <w:rPr>
                <w:b/>
              </w:rPr>
            </w:pPr>
            <w:r w:rsidRPr="0019198F">
              <w:rPr>
                <w:b/>
              </w:rPr>
              <w:t>Тариф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  <w:jc w:val="center"/>
              <w:rPr>
                <w:b/>
              </w:rPr>
            </w:pPr>
            <w:r w:rsidRPr="0019198F">
              <w:rPr>
                <w:b/>
              </w:rPr>
              <w:t>Примечание</w:t>
            </w:r>
          </w:p>
        </w:tc>
      </w:tr>
      <w:tr w:rsidR="00A823D5" w:rsidRPr="0019198F" w:rsidTr="004127DF">
        <w:trPr>
          <w:trHeight w:val="327"/>
        </w:trPr>
        <w:tc>
          <w:tcPr>
            <w:tcW w:w="10195" w:type="dxa"/>
            <w:gridSpan w:val="4"/>
            <w:vAlign w:val="center"/>
          </w:tcPr>
          <w:p w:rsidR="00A823D5" w:rsidRPr="00A823D5" w:rsidRDefault="00A823D5" w:rsidP="00A823D5">
            <w:pPr>
              <w:pStyle w:val="a6"/>
              <w:numPr>
                <w:ilvl w:val="0"/>
                <w:numId w:val="3"/>
              </w:numPr>
              <w:jc w:val="left"/>
              <w:rPr>
                <w:b/>
              </w:rPr>
            </w:pPr>
            <w:r w:rsidRPr="00A823D5">
              <w:rPr>
                <w:b/>
              </w:rPr>
              <w:t>Административные операции</w:t>
            </w:r>
          </w:p>
        </w:tc>
      </w:tr>
      <w:tr w:rsidR="00A823D5" w:rsidRPr="0019198F" w:rsidTr="004127DF">
        <w:tc>
          <w:tcPr>
            <w:tcW w:w="4818" w:type="dxa"/>
            <w:gridSpan w:val="2"/>
          </w:tcPr>
          <w:p w:rsidR="00A823D5" w:rsidRPr="0019198F" w:rsidRDefault="00A823D5" w:rsidP="00266A12">
            <w:pPr>
              <w:ind w:firstLine="0"/>
            </w:pPr>
            <w:r w:rsidRPr="0019198F">
              <w:t>1.1.Открытие/закрытие счета депо/раздела счета депо</w:t>
            </w:r>
          </w:p>
        </w:tc>
        <w:tc>
          <w:tcPr>
            <w:tcW w:w="1677" w:type="dxa"/>
            <w:vAlign w:val="center"/>
          </w:tcPr>
          <w:p w:rsidR="00A823D5" w:rsidRPr="0019198F" w:rsidRDefault="00A823D5" w:rsidP="00266A12">
            <w:pPr>
              <w:ind w:firstLine="0"/>
            </w:pPr>
            <w:r w:rsidRPr="0019198F">
              <w:t>бесплатно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</w:p>
        </w:tc>
      </w:tr>
      <w:tr w:rsidR="00A823D5" w:rsidRPr="0019198F" w:rsidTr="004127DF">
        <w:tc>
          <w:tcPr>
            <w:tcW w:w="4818" w:type="dxa"/>
            <w:gridSpan w:val="2"/>
            <w:vAlign w:val="center"/>
          </w:tcPr>
          <w:p w:rsidR="00A823D5" w:rsidRPr="0019198F" w:rsidRDefault="00A823D5" w:rsidP="00266A12">
            <w:pPr>
              <w:ind w:firstLine="0"/>
            </w:pPr>
            <w:r w:rsidRPr="0019198F">
              <w:t>1.</w:t>
            </w:r>
            <w:r>
              <w:t>2</w:t>
            </w:r>
            <w:r w:rsidRPr="0019198F">
              <w:t>. Назначение распорядителя счета депо</w:t>
            </w:r>
          </w:p>
        </w:tc>
        <w:tc>
          <w:tcPr>
            <w:tcW w:w="1677" w:type="dxa"/>
            <w:vAlign w:val="center"/>
          </w:tcPr>
          <w:p w:rsidR="00A823D5" w:rsidRPr="0019198F" w:rsidRDefault="00A823D5" w:rsidP="00266A12">
            <w:pPr>
              <w:ind w:firstLine="0"/>
            </w:pPr>
            <w:r w:rsidRPr="0019198F">
              <w:t>бесплатно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</w:p>
        </w:tc>
      </w:tr>
      <w:tr w:rsidR="00A823D5" w:rsidRPr="0019198F" w:rsidTr="004127DF">
        <w:tc>
          <w:tcPr>
            <w:tcW w:w="4818" w:type="dxa"/>
            <w:gridSpan w:val="2"/>
          </w:tcPr>
          <w:p w:rsidR="00A823D5" w:rsidRPr="0019198F" w:rsidRDefault="00A823D5" w:rsidP="00266A12">
            <w:pPr>
              <w:ind w:firstLine="0"/>
            </w:pPr>
            <w:r w:rsidRPr="0019198F">
              <w:t>1.</w:t>
            </w:r>
            <w:r>
              <w:t>3</w:t>
            </w:r>
            <w:r w:rsidRPr="0019198F">
              <w:t>. Отмена полномочий распорядителя счета депо</w:t>
            </w:r>
          </w:p>
        </w:tc>
        <w:tc>
          <w:tcPr>
            <w:tcW w:w="1677" w:type="dxa"/>
            <w:vAlign w:val="center"/>
          </w:tcPr>
          <w:p w:rsidR="00A823D5" w:rsidRPr="0019198F" w:rsidRDefault="00A823D5" w:rsidP="00266A12">
            <w:pPr>
              <w:ind w:firstLine="0"/>
            </w:pPr>
            <w:r w:rsidRPr="0019198F">
              <w:t>бесплатно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</w:p>
        </w:tc>
      </w:tr>
      <w:tr w:rsidR="00A823D5" w:rsidRPr="0019198F" w:rsidTr="004127DF">
        <w:tc>
          <w:tcPr>
            <w:tcW w:w="4818" w:type="dxa"/>
            <w:gridSpan w:val="2"/>
          </w:tcPr>
          <w:p w:rsidR="00A823D5" w:rsidRPr="0019198F" w:rsidRDefault="00A823D5" w:rsidP="00266A12">
            <w:pPr>
              <w:ind w:firstLine="0"/>
            </w:pPr>
            <w:r w:rsidRPr="0019198F">
              <w:t>1.</w:t>
            </w:r>
            <w:r>
              <w:t>4</w:t>
            </w:r>
            <w:r w:rsidRPr="0019198F">
              <w:t>. Изменение анкетных данных Депонента, распорядителя счета депо</w:t>
            </w:r>
          </w:p>
        </w:tc>
        <w:tc>
          <w:tcPr>
            <w:tcW w:w="1677" w:type="dxa"/>
            <w:vAlign w:val="center"/>
          </w:tcPr>
          <w:p w:rsidR="00A823D5" w:rsidRPr="0019198F" w:rsidRDefault="00A823D5" w:rsidP="00266A12">
            <w:pPr>
              <w:ind w:firstLine="0"/>
            </w:pPr>
            <w:r w:rsidRPr="0019198F">
              <w:t>бесплатно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</w:p>
        </w:tc>
      </w:tr>
      <w:tr w:rsidR="006570C8" w:rsidRPr="0019198F" w:rsidTr="004127DF">
        <w:tc>
          <w:tcPr>
            <w:tcW w:w="4818" w:type="dxa"/>
            <w:gridSpan w:val="2"/>
          </w:tcPr>
          <w:p w:rsidR="006570C8" w:rsidRPr="0019198F" w:rsidRDefault="006570C8" w:rsidP="00266A12">
            <w:pPr>
              <w:ind w:firstLine="0"/>
            </w:pPr>
            <w:r>
              <w:t>1.5. Отмена поручения</w:t>
            </w:r>
          </w:p>
        </w:tc>
        <w:tc>
          <w:tcPr>
            <w:tcW w:w="1677" w:type="dxa"/>
          </w:tcPr>
          <w:p w:rsidR="006570C8" w:rsidRPr="0019198F" w:rsidRDefault="00C425F7" w:rsidP="00266A12">
            <w:pPr>
              <w:ind w:firstLine="0"/>
            </w:pPr>
            <w:r>
              <w:t>б</w:t>
            </w:r>
            <w:r w:rsidR="006570C8" w:rsidRPr="0019198F">
              <w:t>есплатно</w:t>
            </w:r>
            <w:r w:rsidR="004127DF">
              <w:t>*</w:t>
            </w:r>
          </w:p>
        </w:tc>
        <w:tc>
          <w:tcPr>
            <w:tcW w:w="3700" w:type="dxa"/>
          </w:tcPr>
          <w:p w:rsidR="006570C8" w:rsidRPr="0019198F" w:rsidRDefault="006570C8" w:rsidP="00266A12">
            <w:pPr>
              <w:ind w:firstLine="0"/>
            </w:pPr>
          </w:p>
        </w:tc>
      </w:tr>
      <w:tr w:rsidR="00A823D5" w:rsidRPr="00A823D5" w:rsidTr="004127DF">
        <w:trPr>
          <w:trHeight w:val="381"/>
        </w:trPr>
        <w:tc>
          <w:tcPr>
            <w:tcW w:w="10195" w:type="dxa"/>
            <w:gridSpan w:val="4"/>
            <w:vAlign w:val="center"/>
          </w:tcPr>
          <w:p w:rsidR="00A823D5" w:rsidRPr="0019198F" w:rsidRDefault="00A823D5" w:rsidP="00A823D5">
            <w:pPr>
              <w:pStyle w:val="a6"/>
              <w:numPr>
                <w:ilvl w:val="0"/>
                <w:numId w:val="3"/>
              </w:numPr>
              <w:jc w:val="left"/>
              <w:rPr>
                <w:b/>
              </w:rPr>
            </w:pPr>
            <w:r w:rsidRPr="0019198F">
              <w:rPr>
                <w:b/>
              </w:rPr>
              <w:t>Информационные операции</w:t>
            </w:r>
          </w:p>
        </w:tc>
      </w:tr>
      <w:tr w:rsidR="00A823D5" w:rsidRPr="0019198F" w:rsidTr="004127DF">
        <w:tc>
          <w:tcPr>
            <w:tcW w:w="4818" w:type="dxa"/>
            <w:gridSpan w:val="2"/>
          </w:tcPr>
          <w:p w:rsidR="00A823D5" w:rsidRPr="0019198F" w:rsidRDefault="00A823D5" w:rsidP="00266A12">
            <w:pPr>
              <w:ind w:firstLine="0"/>
            </w:pPr>
            <w:r>
              <w:t>2.1.</w:t>
            </w:r>
            <w:r w:rsidRPr="0019198F">
              <w:t xml:space="preserve">Предоставление отчета об операции по счету депо </w:t>
            </w:r>
          </w:p>
        </w:tc>
        <w:tc>
          <w:tcPr>
            <w:tcW w:w="1677" w:type="dxa"/>
            <w:vAlign w:val="center"/>
          </w:tcPr>
          <w:p w:rsidR="00A823D5" w:rsidRPr="0019198F" w:rsidDel="009F62BB" w:rsidRDefault="00C425F7" w:rsidP="00266A12">
            <w:pPr>
              <w:ind w:firstLine="0"/>
            </w:pPr>
            <w:r>
              <w:t>б</w:t>
            </w:r>
            <w:r w:rsidR="00A823D5" w:rsidRPr="0019198F">
              <w:t>есплатно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</w:p>
        </w:tc>
      </w:tr>
      <w:tr w:rsidR="00A823D5" w:rsidRPr="0019198F" w:rsidTr="004127DF">
        <w:tc>
          <w:tcPr>
            <w:tcW w:w="4818" w:type="dxa"/>
            <w:gridSpan w:val="2"/>
          </w:tcPr>
          <w:p w:rsidR="00A823D5" w:rsidRPr="0019198F" w:rsidRDefault="00A823D5" w:rsidP="00266A12">
            <w:pPr>
              <w:ind w:firstLine="0"/>
            </w:pPr>
            <w:r>
              <w:t>2.2.</w:t>
            </w:r>
            <w:r w:rsidRPr="0019198F">
              <w:t>Предоставление выписки по счету депо на дату</w:t>
            </w:r>
          </w:p>
        </w:tc>
        <w:tc>
          <w:tcPr>
            <w:tcW w:w="1677" w:type="dxa"/>
            <w:vAlign w:val="center"/>
          </w:tcPr>
          <w:p w:rsidR="00A823D5" w:rsidRPr="0019198F" w:rsidRDefault="00C425F7" w:rsidP="00266A12">
            <w:pPr>
              <w:ind w:firstLine="0"/>
            </w:pPr>
            <w:r>
              <w:t>б</w:t>
            </w:r>
            <w:r w:rsidR="00A823D5" w:rsidRPr="0019198F">
              <w:t>есплатно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</w:p>
        </w:tc>
      </w:tr>
      <w:tr w:rsidR="00A823D5" w:rsidRPr="0019198F" w:rsidTr="004127DF">
        <w:tc>
          <w:tcPr>
            <w:tcW w:w="4818" w:type="dxa"/>
            <w:gridSpan w:val="2"/>
          </w:tcPr>
          <w:p w:rsidR="00A823D5" w:rsidRPr="0019198F" w:rsidRDefault="00A823D5" w:rsidP="00266A12">
            <w:pPr>
              <w:ind w:firstLine="0"/>
            </w:pPr>
            <w:r>
              <w:t>2.3.</w:t>
            </w:r>
            <w:r w:rsidRPr="0019198F">
              <w:t xml:space="preserve">Предоставление </w:t>
            </w:r>
            <w:r w:rsidR="006F7194">
              <w:t xml:space="preserve">отчета об операциях по счету депо </w:t>
            </w:r>
            <w:r w:rsidRPr="0019198F">
              <w:t>за период</w:t>
            </w:r>
            <w:r w:rsidR="008C352F">
              <w:t xml:space="preserve"> (по запросу клиента)</w:t>
            </w:r>
          </w:p>
        </w:tc>
        <w:tc>
          <w:tcPr>
            <w:tcW w:w="1677" w:type="dxa"/>
            <w:vAlign w:val="center"/>
          </w:tcPr>
          <w:p w:rsidR="00A823D5" w:rsidRPr="0019198F" w:rsidRDefault="00A823D5" w:rsidP="00266A12">
            <w:pPr>
              <w:ind w:firstLine="0"/>
            </w:pPr>
            <w:r w:rsidRPr="0019198F">
              <w:t>300 руб.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</w:p>
        </w:tc>
      </w:tr>
      <w:tr w:rsidR="00A823D5" w:rsidRPr="00A823D5" w:rsidTr="004127DF">
        <w:trPr>
          <w:trHeight w:val="439"/>
        </w:trPr>
        <w:tc>
          <w:tcPr>
            <w:tcW w:w="10195" w:type="dxa"/>
            <w:gridSpan w:val="4"/>
            <w:vAlign w:val="center"/>
          </w:tcPr>
          <w:p w:rsidR="00A823D5" w:rsidRPr="0019198F" w:rsidRDefault="00A823D5" w:rsidP="00A823D5">
            <w:pPr>
              <w:pStyle w:val="a6"/>
              <w:numPr>
                <w:ilvl w:val="0"/>
                <w:numId w:val="3"/>
              </w:numPr>
              <w:jc w:val="left"/>
              <w:rPr>
                <w:b/>
              </w:rPr>
            </w:pPr>
            <w:r w:rsidRPr="0019198F">
              <w:rPr>
                <w:b/>
              </w:rPr>
              <w:t>Инвентарные операции</w:t>
            </w:r>
          </w:p>
        </w:tc>
      </w:tr>
      <w:tr w:rsidR="00A823D5" w:rsidRPr="0019198F" w:rsidTr="004127DF">
        <w:tc>
          <w:tcPr>
            <w:tcW w:w="4818" w:type="dxa"/>
            <w:gridSpan w:val="2"/>
          </w:tcPr>
          <w:p w:rsidR="00A823D5" w:rsidRPr="0019198F" w:rsidRDefault="00A823D5" w:rsidP="00266A12">
            <w:pPr>
              <w:ind w:firstLine="0"/>
            </w:pPr>
            <w:r>
              <w:t xml:space="preserve">3.1. </w:t>
            </w:r>
            <w:r w:rsidRPr="00FA3043">
              <w:t>Прием ценных бумаг на учет</w:t>
            </w:r>
          </w:p>
        </w:tc>
        <w:tc>
          <w:tcPr>
            <w:tcW w:w="1677" w:type="dxa"/>
            <w:vAlign w:val="center"/>
          </w:tcPr>
          <w:p w:rsidR="00A823D5" w:rsidRPr="0019198F" w:rsidRDefault="008C352F" w:rsidP="00266A12">
            <w:pPr>
              <w:ind w:firstLine="0"/>
            </w:pPr>
            <w:r>
              <w:t>бесплатно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</w:p>
        </w:tc>
      </w:tr>
      <w:tr w:rsidR="00A823D5" w:rsidRPr="0019198F" w:rsidTr="004127DF">
        <w:tc>
          <w:tcPr>
            <w:tcW w:w="4818" w:type="dxa"/>
            <w:gridSpan w:val="2"/>
          </w:tcPr>
          <w:p w:rsidR="00A823D5" w:rsidRPr="0019198F" w:rsidRDefault="00A823D5" w:rsidP="00266A12">
            <w:pPr>
              <w:ind w:firstLine="0"/>
            </w:pPr>
            <w:r>
              <w:t xml:space="preserve">3.2. </w:t>
            </w:r>
            <w:r w:rsidRPr="00FA3043">
              <w:t>Снятие ценных бумаг с учета</w:t>
            </w:r>
          </w:p>
        </w:tc>
        <w:tc>
          <w:tcPr>
            <w:tcW w:w="1677" w:type="dxa"/>
          </w:tcPr>
          <w:p w:rsidR="00A823D5" w:rsidRPr="0019198F" w:rsidRDefault="008C352F" w:rsidP="00266A12">
            <w:pPr>
              <w:ind w:firstLine="0"/>
            </w:pPr>
            <w:r>
              <w:t>бесплатно</w:t>
            </w:r>
            <w:r w:rsidR="00A823D5">
              <w:t xml:space="preserve"> 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</w:p>
        </w:tc>
      </w:tr>
      <w:tr w:rsidR="00A823D5" w:rsidRPr="0019198F" w:rsidTr="004127DF">
        <w:tc>
          <w:tcPr>
            <w:tcW w:w="4818" w:type="dxa"/>
            <w:gridSpan w:val="2"/>
          </w:tcPr>
          <w:p w:rsidR="00A823D5" w:rsidRPr="0019198F" w:rsidRDefault="00A823D5" w:rsidP="00266A12">
            <w:pPr>
              <w:ind w:firstLine="0"/>
            </w:pPr>
            <w:r>
              <w:t>3.3. Перевод ценных бумаг</w:t>
            </w:r>
          </w:p>
        </w:tc>
        <w:tc>
          <w:tcPr>
            <w:tcW w:w="1677" w:type="dxa"/>
          </w:tcPr>
          <w:p w:rsidR="00A823D5" w:rsidRPr="0019198F" w:rsidRDefault="00A823D5" w:rsidP="00266A12">
            <w:pPr>
              <w:ind w:firstLine="0"/>
            </w:pPr>
            <w:r>
              <w:t>300 руб.</w:t>
            </w:r>
            <w:r w:rsidR="00402D65">
              <w:t>*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  <w:r>
              <w:t>С каждой стороны.</w:t>
            </w:r>
          </w:p>
        </w:tc>
      </w:tr>
      <w:tr w:rsidR="00402D65" w:rsidRPr="0019198F" w:rsidTr="004127DF">
        <w:tc>
          <w:tcPr>
            <w:tcW w:w="4818" w:type="dxa"/>
            <w:gridSpan w:val="2"/>
          </w:tcPr>
          <w:p w:rsidR="00402D65" w:rsidRPr="0019198F" w:rsidRDefault="00402D65" w:rsidP="00402D65">
            <w:pPr>
              <w:ind w:firstLine="0"/>
            </w:pPr>
            <w:r>
              <w:t>3.4. Перемещение ценных бумаг</w:t>
            </w:r>
          </w:p>
        </w:tc>
        <w:tc>
          <w:tcPr>
            <w:tcW w:w="1677" w:type="dxa"/>
          </w:tcPr>
          <w:p w:rsidR="00402D65" w:rsidRPr="0019198F" w:rsidRDefault="008C352F" w:rsidP="00402D65">
            <w:pPr>
              <w:ind w:firstLine="0"/>
            </w:pPr>
            <w:r>
              <w:t>бесплатно</w:t>
            </w:r>
          </w:p>
        </w:tc>
        <w:tc>
          <w:tcPr>
            <w:tcW w:w="3700" w:type="dxa"/>
          </w:tcPr>
          <w:p w:rsidR="00402D65" w:rsidRPr="0019198F" w:rsidRDefault="00402D65" w:rsidP="00402D65">
            <w:pPr>
              <w:ind w:firstLine="0"/>
            </w:pPr>
          </w:p>
        </w:tc>
      </w:tr>
      <w:tr w:rsidR="00A823D5" w:rsidRPr="0019198F" w:rsidTr="004127DF">
        <w:tc>
          <w:tcPr>
            <w:tcW w:w="4818" w:type="dxa"/>
            <w:gridSpan w:val="2"/>
          </w:tcPr>
          <w:p w:rsidR="00A823D5" w:rsidRPr="0019198F" w:rsidRDefault="00A823D5" w:rsidP="00266A12">
            <w:pPr>
              <w:ind w:firstLine="0"/>
            </w:pPr>
            <w:r>
              <w:t>3.5.</w:t>
            </w:r>
            <w:r w:rsidRPr="00FA3043">
              <w:t xml:space="preserve"> Прием ценных бумаг на учет</w:t>
            </w:r>
            <w:r>
              <w:t xml:space="preserve"> / Снятие ценных бумаг с у</w:t>
            </w:r>
            <w:r w:rsidRPr="00FA3043">
              <w:t>чета</w:t>
            </w:r>
            <w:r>
              <w:t xml:space="preserve"> по итогам торговой сессии</w:t>
            </w:r>
          </w:p>
        </w:tc>
        <w:tc>
          <w:tcPr>
            <w:tcW w:w="1677" w:type="dxa"/>
          </w:tcPr>
          <w:p w:rsidR="00A823D5" w:rsidRPr="0019198F" w:rsidRDefault="00A823D5" w:rsidP="00266A12">
            <w:pPr>
              <w:ind w:firstLine="0"/>
            </w:pPr>
            <w:r w:rsidRPr="0019198F">
              <w:t>Бесплатно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</w:p>
        </w:tc>
      </w:tr>
      <w:tr w:rsidR="00A823D5" w:rsidRPr="00A823D5" w:rsidTr="004127DF">
        <w:trPr>
          <w:trHeight w:val="355"/>
        </w:trPr>
        <w:tc>
          <w:tcPr>
            <w:tcW w:w="10195" w:type="dxa"/>
            <w:gridSpan w:val="4"/>
            <w:vAlign w:val="center"/>
          </w:tcPr>
          <w:p w:rsidR="00A823D5" w:rsidRPr="004D77E6" w:rsidRDefault="00A823D5" w:rsidP="00A823D5">
            <w:pPr>
              <w:pStyle w:val="a6"/>
              <w:numPr>
                <w:ilvl w:val="0"/>
                <w:numId w:val="3"/>
              </w:numPr>
              <w:jc w:val="left"/>
              <w:rPr>
                <w:b/>
              </w:rPr>
            </w:pPr>
            <w:r w:rsidRPr="004D77E6">
              <w:rPr>
                <w:b/>
              </w:rPr>
              <w:t>Комплексные операции</w:t>
            </w:r>
          </w:p>
        </w:tc>
      </w:tr>
      <w:tr w:rsidR="00A823D5" w:rsidRPr="0019198F" w:rsidTr="004127DF">
        <w:tc>
          <w:tcPr>
            <w:tcW w:w="4818" w:type="dxa"/>
            <w:gridSpan w:val="2"/>
          </w:tcPr>
          <w:p w:rsidR="00A823D5" w:rsidRPr="0019198F" w:rsidRDefault="00A823D5" w:rsidP="00266A12">
            <w:pPr>
              <w:ind w:firstLine="0"/>
            </w:pPr>
            <w:r>
              <w:t>4.1. Б</w:t>
            </w:r>
            <w:r w:rsidRPr="00C22AA2">
              <w:t>локиров</w:t>
            </w:r>
            <w:r>
              <w:t>ка</w:t>
            </w:r>
            <w:r w:rsidRPr="00C22AA2">
              <w:t xml:space="preserve"> / снятие блокиров</w:t>
            </w:r>
            <w:r>
              <w:t>ки</w:t>
            </w:r>
            <w:r w:rsidRPr="00C22AA2">
              <w:t xml:space="preserve"> ценных бумаг</w:t>
            </w:r>
          </w:p>
        </w:tc>
        <w:tc>
          <w:tcPr>
            <w:tcW w:w="1677" w:type="dxa"/>
          </w:tcPr>
          <w:p w:rsidR="00A823D5" w:rsidRPr="0019198F" w:rsidRDefault="00A823D5" w:rsidP="00266A12">
            <w:pPr>
              <w:ind w:firstLine="0"/>
            </w:pPr>
            <w:r>
              <w:t>500 руб.</w:t>
            </w:r>
            <w:r w:rsidR="00402D65">
              <w:t>*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  <w:r>
              <w:t>За каждое поручение.</w:t>
            </w:r>
          </w:p>
        </w:tc>
      </w:tr>
      <w:tr w:rsidR="00A823D5" w:rsidRPr="0019198F" w:rsidTr="004127DF">
        <w:tc>
          <w:tcPr>
            <w:tcW w:w="4818" w:type="dxa"/>
            <w:gridSpan w:val="2"/>
          </w:tcPr>
          <w:p w:rsidR="00A823D5" w:rsidRPr="0019198F" w:rsidRDefault="00A823D5" w:rsidP="00266A12">
            <w:pPr>
              <w:ind w:firstLine="0"/>
            </w:pPr>
            <w:r>
              <w:t>4.2. Обременение ценных бумаг залогом / снятие обременения ценных бумаг залогом</w:t>
            </w:r>
          </w:p>
        </w:tc>
        <w:tc>
          <w:tcPr>
            <w:tcW w:w="1677" w:type="dxa"/>
          </w:tcPr>
          <w:p w:rsidR="00A823D5" w:rsidRPr="0019198F" w:rsidRDefault="00A823D5" w:rsidP="00266A12">
            <w:pPr>
              <w:ind w:firstLine="0"/>
            </w:pPr>
            <w:r>
              <w:t>2000 руб.</w:t>
            </w:r>
            <w:r w:rsidR="00402D65">
              <w:t>*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  <w:r>
              <w:t>За каждое поручение.</w:t>
            </w:r>
          </w:p>
        </w:tc>
      </w:tr>
      <w:tr w:rsidR="00A823D5" w:rsidRPr="00A823D5" w:rsidTr="004127DF">
        <w:trPr>
          <w:trHeight w:val="317"/>
        </w:trPr>
        <w:tc>
          <w:tcPr>
            <w:tcW w:w="10195" w:type="dxa"/>
            <w:gridSpan w:val="4"/>
            <w:vAlign w:val="center"/>
          </w:tcPr>
          <w:p w:rsidR="00A823D5" w:rsidRPr="004D77E6" w:rsidRDefault="006570C8" w:rsidP="00A823D5">
            <w:pPr>
              <w:pStyle w:val="a6"/>
              <w:numPr>
                <w:ilvl w:val="0"/>
                <w:numId w:val="3"/>
              </w:numPr>
              <w:jc w:val="left"/>
              <w:rPr>
                <w:b/>
              </w:rPr>
            </w:pPr>
            <w:r>
              <w:rPr>
                <w:b/>
              </w:rPr>
              <w:t>Ведение счета депо</w:t>
            </w:r>
          </w:p>
        </w:tc>
      </w:tr>
      <w:tr w:rsidR="00A823D5" w:rsidRPr="0019198F" w:rsidTr="004127DF">
        <w:tc>
          <w:tcPr>
            <w:tcW w:w="4818" w:type="dxa"/>
            <w:gridSpan w:val="2"/>
            <w:vMerge w:val="restart"/>
            <w:vAlign w:val="center"/>
          </w:tcPr>
          <w:p w:rsidR="00A823D5" w:rsidRPr="0019198F" w:rsidRDefault="006570C8" w:rsidP="006570C8">
            <w:pPr>
              <w:ind w:firstLine="0"/>
            </w:pPr>
            <w:r>
              <w:t>5.1.</w:t>
            </w:r>
            <w:r w:rsidR="00A823D5" w:rsidRPr="0019198F">
              <w:t>Ведение счета депо</w:t>
            </w:r>
          </w:p>
        </w:tc>
        <w:tc>
          <w:tcPr>
            <w:tcW w:w="1677" w:type="dxa"/>
            <w:vAlign w:val="center"/>
          </w:tcPr>
          <w:p w:rsidR="00A823D5" w:rsidRPr="0019198F" w:rsidRDefault="00A823D5" w:rsidP="00266A12">
            <w:pPr>
              <w:ind w:firstLine="0"/>
            </w:pPr>
            <w:r w:rsidRPr="0019198F">
              <w:t>500 руб. за расчетный период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  <w:r w:rsidRPr="0019198F">
              <w:t xml:space="preserve">Для Депонентов, заключивших с ООО «Московские партнеры» </w:t>
            </w:r>
            <w:r w:rsidR="00FB4F64">
              <w:t>Д</w:t>
            </w:r>
            <w:r w:rsidRPr="0019198F">
              <w:t>оговор о брокерском обслуживании.</w:t>
            </w:r>
          </w:p>
          <w:p w:rsidR="00A823D5" w:rsidRPr="0019198F" w:rsidRDefault="00A823D5" w:rsidP="00266A12">
            <w:pPr>
              <w:ind w:firstLine="0"/>
            </w:pPr>
          </w:p>
          <w:p w:rsidR="008407B0" w:rsidRDefault="008407B0" w:rsidP="008407B0">
            <w:pPr>
              <w:ind w:firstLine="0"/>
            </w:pPr>
            <w:r>
              <w:t xml:space="preserve"> </w:t>
            </w:r>
          </w:p>
          <w:p w:rsidR="008407B0" w:rsidRDefault="008407B0" w:rsidP="008407B0">
            <w:pPr>
              <w:ind w:firstLine="0"/>
            </w:pPr>
            <w:r>
              <w:t xml:space="preserve">Оплата не взимается при одновременном выполнении двух условий: </w:t>
            </w:r>
          </w:p>
          <w:p w:rsidR="008407B0" w:rsidRDefault="008407B0" w:rsidP="008407B0">
            <w:pPr>
              <w:ind w:firstLine="0"/>
            </w:pPr>
            <w:r>
              <w:t xml:space="preserve">1) наличие нулевых остатков ценных бумаг на счете депо на конец каждого операционного дня </w:t>
            </w:r>
            <w:r w:rsidR="00FB4F64">
              <w:t>Р</w:t>
            </w:r>
            <w:r>
              <w:t>асчетного периода, и</w:t>
            </w:r>
          </w:p>
          <w:p w:rsidR="00A823D5" w:rsidRPr="0019198F" w:rsidRDefault="008407B0" w:rsidP="008407B0">
            <w:pPr>
              <w:ind w:firstLine="0"/>
            </w:pPr>
            <w:r>
              <w:t xml:space="preserve">2) отсутствие операций по счету депо в течение </w:t>
            </w:r>
            <w:r w:rsidR="00FB4F64">
              <w:t>Р</w:t>
            </w:r>
            <w:r>
              <w:t>асчетного периода.</w:t>
            </w:r>
          </w:p>
        </w:tc>
      </w:tr>
      <w:tr w:rsidR="00A823D5" w:rsidRPr="0019198F" w:rsidTr="004127DF">
        <w:tc>
          <w:tcPr>
            <w:tcW w:w="4818" w:type="dxa"/>
            <w:gridSpan w:val="2"/>
            <w:vMerge/>
          </w:tcPr>
          <w:p w:rsidR="00A823D5" w:rsidRPr="0019198F" w:rsidRDefault="00A823D5" w:rsidP="00266A12">
            <w:pPr>
              <w:ind w:firstLine="0"/>
            </w:pPr>
          </w:p>
        </w:tc>
        <w:tc>
          <w:tcPr>
            <w:tcW w:w="1677" w:type="dxa"/>
            <w:vAlign w:val="center"/>
          </w:tcPr>
          <w:p w:rsidR="00A823D5" w:rsidRPr="0019198F" w:rsidRDefault="00A823D5" w:rsidP="009D7A90">
            <w:pPr>
              <w:ind w:firstLine="0"/>
              <w:jc w:val="left"/>
            </w:pPr>
            <w:r>
              <w:t>1</w:t>
            </w:r>
            <w:r w:rsidRPr="0019198F">
              <w:t>000 руб. за расчетный период</w:t>
            </w: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</w:p>
          <w:p w:rsidR="00A823D5" w:rsidRPr="0019198F" w:rsidRDefault="00A823D5" w:rsidP="00266A12">
            <w:pPr>
              <w:ind w:firstLine="0"/>
            </w:pPr>
            <w:r w:rsidRPr="0019198F">
              <w:t xml:space="preserve">Для Депонентов, не заключивших с ООО «Московские партнеры» </w:t>
            </w:r>
            <w:r w:rsidR="00FB4F64">
              <w:t>Д</w:t>
            </w:r>
            <w:r w:rsidRPr="0019198F">
              <w:t>оговор о брокерском обслуживании.</w:t>
            </w:r>
          </w:p>
          <w:p w:rsidR="00A823D5" w:rsidRPr="0019198F" w:rsidRDefault="00A823D5" w:rsidP="00266A12">
            <w:pPr>
              <w:ind w:firstLine="0"/>
            </w:pPr>
          </w:p>
        </w:tc>
      </w:tr>
      <w:tr w:rsidR="00A823D5" w:rsidRPr="00A823D5" w:rsidTr="004127DF">
        <w:trPr>
          <w:trHeight w:val="371"/>
        </w:trPr>
        <w:tc>
          <w:tcPr>
            <w:tcW w:w="10195" w:type="dxa"/>
            <w:gridSpan w:val="4"/>
            <w:vAlign w:val="center"/>
          </w:tcPr>
          <w:p w:rsidR="00A823D5" w:rsidRPr="004D77E6" w:rsidRDefault="00325B85" w:rsidP="00A823D5">
            <w:pPr>
              <w:pStyle w:val="a6"/>
              <w:numPr>
                <w:ilvl w:val="0"/>
                <w:numId w:val="3"/>
              </w:numPr>
              <w:jc w:val="left"/>
              <w:rPr>
                <w:b/>
              </w:rPr>
            </w:pPr>
            <w:r>
              <w:rPr>
                <w:b/>
              </w:rPr>
              <w:t>Учет</w:t>
            </w:r>
            <w:r w:rsidR="00A823D5" w:rsidRPr="004D77E6">
              <w:rPr>
                <w:b/>
              </w:rPr>
              <w:t xml:space="preserve"> прав на ценные бумаги</w:t>
            </w:r>
          </w:p>
        </w:tc>
      </w:tr>
      <w:tr w:rsidR="00820677" w:rsidRPr="0019198F" w:rsidTr="004127DF">
        <w:tc>
          <w:tcPr>
            <w:tcW w:w="10195" w:type="dxa"/>
            <w:gridSpan w:val="4"/>
          </w:tcPr>
          <w:p w:rsidR="00820677" w:rsidRDefault="00820677" w:rsidP="00266A12">
            <w:pPr>
              <w:ind w:firstLine="0"/>
            </w:pPr>
            <w:r>
              <w:t xml:space="preserve">6.1. </w:t>
            </w:r>
            <w:r w:rsidR="00325B85">
              <w:t>Учет</w:t>
            </w:r>
            <w:r w:rsidRPr="00FA3043">
              <w:t xml:space="preserve"> прав на бездокументарные ценные бумаги, местом хранения которых является </w:t>
            </w:r>
            <w:r>
              <w:t>иной вышестоящий депозитарий</w:t>
            </w:r>
          </w:p>
        </w:tc>
      </w:tr>
      <w:tr w:rsidR="00A823D5" w:rsidRPr="0019198F" w:rsidTr="004127DF">
        <w:tc>
          <w:tcPr>
            <w:tcW w:w="4531" w:type="dxa"/>
          </w:tcPr>
          <w:p w:rsidR="00A823D5" w:rsidRPr="0019198F" w:rsidRDefault="00325B85" w:rsidP="00266A12">
            <w:pPr>
              <w:ind w:firstLine="0"/>
            </w:pPr>
            <w:r>
              <w:t>-</w:t>
            </w:r>
            <w:r w:rsidR="00A823D5" w:rsidRPr="00FA3043">
              <w:t xml:space="preserve"> ценные бумаги</w:t>
            </w:r>
            <w:r w:rsidR="00820677">
              <w:t xml:space="preserve"> российских Эмитентов</w:t>
            </w:r>
          </w:p>
        </w:tc>
        <w:tc>
          <w:tcPr>
            <w:tcW w:w="1964" w:type="dxa"/>
            <w:gridSpan w:val="2"/>
          </w:tcPr>
          <w:p w:rsidR="00A823D5" w:rsidRPr="0019198F" w:rsidRDefault="00A823D5" w:rsidP="00A823D5">
            <w:pPr>
              <w:ind w:firstLine="0"/>
            </w:pPr>
            <w:r>
              <w:t xml:space="preserve">2000 руб. </w:t>
            </w:r>
            <w:r w:rsidRPr="0019198F">
              <w:t xml:space="preserve">за </w:t>
            </w:r>
            <w:r w:rsidRPr="0019198F">
              <w:lastRenderedPageBreak/>
              <w:t>расчетный период</w:t>
            </w:r>
          </w:p>
          <w:p w:rsidR="00A823D5" w:rsidRPr="0019198F" w:rsidRDefault="00A823D5" w:rsidP="00A823D5">
            <w:pPr>
              <w:ind w:firstLine="0"/>
            </w:pPr>
          </w:p>
        </w:tc>
        <w:tc>
          <w:tcPr>
            <w:tcW w:w="3700" w:type="dxa"/>
          </w:tcPr>
          <w:p w:rsidR="00A823D5" w:rsidRPr="0019198F" w:rsidRDefault="00A823D5" w:rsidP="00266A12">
            <w:pPr>
              <w:ind w:firstLine="0"/>
            </w:pPr>
            <w:r>
              <w:lastRenderedPageBreak/>
              <w:t xml:space="preserve">При наличии операций по счету депо в </w:t>
            </w:r>
            <w:r w:rsidR="00FB4F64">
              <w:lastRenderedPageBreak/>
              <w:t>Р</w:t>
            </w:r>
            <w:r>
              <w:t>асчетном периоде.</w:t>
            </w:r>
          </w:p>
        </w:tc>
      </w:tr>
      <w:tr w:rsidR="00820677" w:rsidRPr="0019198F" w:rsidTr="004127DF">
        <w:tc>
          <w:tcPr>
            <w:tcW w:w="4531" w:type="dxa"/>
          </w:tcPr>
          <w:p w:rsidR="00820677" w:rsidRDefault="00325B85" w:rsidP="00820677">
            <w:pPr>
              <w:ind w:firstLine="0"/>
            </w:pPr>
            <w:r>
              <w:lastRenderedPageBreak/>
              <w:t>- ценные бумаги иностранных Эмитентов</w:t>
            </w:r>
          </w:p>
        </w:tc>
        <w:tc>
          <w:tcPr>
            <w:tcW w:w="1964" w:type="dxa"/>
            <w:gridSpan w:val="2"/>
          </w:tcPr>
          <w:p w:rsidR="00820677" w:rsidRPr="0019198F" w:rsidRDefault="00820677" w:rsidP="00820677">
            <w:pPr>
              <w:ind w:firstLine="0"/>
            </w:pPr>
            <w:r>
              <w:t xml:space="preserve">2000 руб. </w:t>
            </w:r>
            <w:r w:rsidRPr="0019198F">
              <w:t>за расчетный период</w:t>
            </w:r>
            <w:r>
              <w:t>*</w:t>
            </w:r>
          </w:p>
          <w:p w:rsidR="00820677" w:rsidRPr="0019198F" w:rsidRDefault="00820677" w:rsidP="00820677">
            <w:pPr>
              <w:ind w:firstLine="0"/>
            </w:pPr>
          </w:p>
        </w:tc>
        <w:tc>
          <w:tcPr>
            <w:tcW w:w="3700" w:type="dxa"/>
          </w:tcPr>
          <w:p w:rsidR="00820677" w:rsidRDefault="00820677" w:rsidP="00820677">
            <w:pPr>
              <w:ind w:firstLine="0"/>
            </w:pPr>
            <w:r>
              <w:t xml:space="preserve">При наличии операций по счету депо в </w:t>
            </w:r>
            <w:r w:rsidR="00FB4F64">
              <w:t>Р</w:t>
            </w:r>
            <w:r>
              <w:t>асчетном периоде.</w:t>
            </w:r>
          </w:p>
        </w:tc>
      </w:tr>
      <w:tr w:rsidR="00820677" w:rsidRPr="0019198F" w:rsidTr="004127DF">
        <w:tc>
          <w:tcPr>
            <w:tcW w:w="10195" w:type="dxa"/>
            <w:gridSpan w:val="4"/>
          </w:tcPr>
          <w:p w:rsidR="00820677" w:rsidRDefault="007918E5" w:rsidP="00820677">
            <w:pPr>
              <w:ind w:firstLine="0"/>
            </w:pPr>
            <w:r>
              <w:t>6.</w:t>
            </w:r>
            <w:r w:rsidR="008407B0">
              <w:t>2</w:t>
            </w:r>
            <w:r w:rsidR="00820677">
              <w:t xml:space="preserve">. </w:t>
            </w:r>
            <w:r w:rsidR="00325B85">
              <w:t>У</w:t>
            </w:r>
            <w:r w:rsidR="00820677" w:rsidRPr="00FA3043">
              <w:t>чет прав на бездокументарные ценные бумаги, местом хранения которых является</w:t>
            </w:r>
            <w:r w:rsidR="00820677">
              <w:t xml:space="preserve"> Держатель реестра</w:t>
            </w:r>
          </w:p>
        </w:tc>
      </w:tr>
      <w:tr w:rsidR="00820677" w:rsidRPr="0019198F" w:rsidTr="004127DF">
        <w:tc>
          <w:tcPr>
            <w:tcW w:w="4531" w:type="dxa"/>
            <w:vAlign w:val="center"/>
          </w:tcPr>
          <w:p w:rsidR="00820677" w:rsidRDefault="00820677" w:rsidP="00820677">
            <w:pPr>
              <w:ind w:firstLine="0"/>
              <w:jc w:val="left"/>
            </w:pPr>
            <w:r>
              <w:t>- для владельцев ценных бумаг</w:t>
            </w:r>
          </w:p>
        </w:tc>
        <w:tc>
          <w:tcPr>
            <w:tcW w:w="1964" w:type="dxa"/>
            <w:gridSpan w:val="2"/>
          </w:tcPr>
          <w:p w:rsidR="00820677" w:rsidRDefault="00820677" w:rsidP="00820677">
            <w:pPr>
              <w:ind w:firstLine="0"/>
            </w:pPr>
            <w:r>
              <w:t xml:space="preserve">300 руб., </w:t>
            </w:r>
            <w:r w:rsidRPr="0019198F">
              <w:t>за расчетный период</w:t>
            </w:r>
            <w:r>
              <w:t>*</w:t>
            </w:r>
          </w:p>
        </w:tc>
        <w:tc>
          <w:tcPr>
            <w:tcW w:w="3700" w:type="dxa"/>
          </w:tcPr>
          <w:p w:rsidR="00820677" w:rsidRDefault="00820677" w:rsidP="00820677">
            <w:pPr>
              <w:ind w:firstLine="0"/>
            </w:pPr>
            <w:r>
              <w:t xml:space="preserve">Плата взимается </w:t>
            </w:r>
            <w:r w:rsidR="00325B85">
              <w:t xml:space="preserve">за каждый выпуск ценных бумаг, </w:t>
            </w:r>
            <w:r>
              <w:t>за полный или неполный календарный месяц</w:t>
            </w:r>
          </w:p>
        </w:tc>
      </w:tr>
      <w:tr w:rsidR="00820677" w:rsidRPr="0019198F" w:rsidTr="004127DF">
        <w:tc>
          <w:tcPr>
            <w:tcW w:w="4531" w:type="dxa"/>
            <w:vAlign w:val="center"/>
          </w:tcPr>
          <w:p w:rsidR="00820677" w:rsidRDefault="00820677" w:rsidP="00820677">
            <w:pPr>
              <w:ind w:firstLine="0"/>
              <w:jc w:val="left"/>
            </w:pPr>
            <w:r>
              <w:t>- для номинальных держателей, доверительных управляющих и залогодержателей</w:t>
            </w:r>
          </w:p>
        </w:tc>
        <w:tc>
          <w:tcPr>
            <w:tcW w:w="1964" w:type="dxa"/>
            <w:gridSpan w:val="2"/>
          </w:tcPr>
          <w:p w:rsidR="00820677" w:rsidRDefault="00820677" w:rsidP="00820677">
            <w:pPr>
              <w:ind w:firstLine="0"/>
            </w:pPr>
            <w:r>
              <w:t xml:space="preserve">1500 руб., </w:t>
            </w:r>
            <w:r w:rsidRPr="0019198F">
              <w:t>за расчетный период</w:t>
            </w:r>
            <w:r>
              <w:t>*</w:t>
            </w:r>
          </w:p>
        </w:tc>
        <w:tc>
          <w:tcPr>
            <w:tcW w:w="3700" w:type="dxa"/>
          </w:tcPr>
          <w:p w:rsidR="00820677" w:rsidRDefault="00820677" w:rsidP="00820677">
            <w:pPr>
              <w:ind w:firstLine="0"/>
            </w:pPr>
            <w:r>
              <w:t xml:space="preserve">Плата взимается за </w:t>
            </w:r>
            <w:r w:rsidR="00325B85">
              <w:t>каждый выпуск ценных бумаг</w:t>
            </w:r>
            <w:r w:rsidR="00FB4F64">
              <w:t>, за</w:t>
            </w:r>
            <w:r w:rsidR="00325B85">
              <w:t xml:space="preserve"> </w:t>
            </w:r>
            <w:r>
              <w:t>полный или неполный календарный месяц</w:t>
            </w:r>
          </w:p>
        </w:tc>
      </w:tr>
      <w:tr w:rsidR="00402D65" w:rsidRPr="00A823D5" w:rsidTr="00266A12">
        <w:trPr>
          <w:trHeight w:val="371"/>
        </w:trPr>
        <w:tc>
          <w:tcPr>
            <w:tcW w:w="10195" w:type="dxa"/>
            <w:gridSpan w:val="4"/>
            <w:vAlign w:val="center"/>
          </w:tcPr>
          <w:p w:rsidR="00402D65" w:rsidRPr="00402D65" w:rsidRDefault="00402D65" w:rsidP="00402D65">
            <w:pPr>
              <w:pStyle w:val="a6"/>
              <w:numPr>
                <w:ilvl w:val="0"/>
                <w:numId w:val="3"/>
              </w:numPr>
              <w:jc w:val="left"/>
              <w:rPr>
                <w:b/>
              </w:rPr>
            </w:pPr>
            <w:r>
              <w:rPr>
                <w:b/>
              </w:rPr>
              <w:t>Расчет и перечисление дохода по ценным бумагам</w:t>
            </w:r>
          </w:p>
        </w:tc>
      </w:tr>
      <w:tr w:rsidR="00402D65" w:rsidRPr="0019198F" w:rsidTr="00266A12">
        <w:tc>
          <w:tcPr>
            <w:tcW w:w="4531" w:type="dxa"/>
            <w:vAlign w:val="center"/>
          </w:tcPr>
          <w:p w:rsidR="00402D65" w:rsidRDefault="00402D65" w:rsidP="00266A12">
            <w:pPr>
              <w:ind w:firstLine="0"/>
              <w:jc w:val="left"/>
            </w:pPr>
            <w:r w:rsidRPr="00402D65">
              <w:t>Расчет и перечисление дохода по ценным бумагам</w:t>
            </w:r>
          </w:p>
        </w:tc>
        <w:tc>
          <w:tcPr>
            <w:tcW w:w="1964" w:type="dxa"/>
            <w:gridSpan w:val="2"/>
          </w:tcPr>
          <w:p w:rsidR="00402D65" w:rsidRDefault="00402D65" w:rsidP="00266A12">
            <w:pPr>
              <w:ind w:firstLine="0"/>
            </w:pPr>
            <w:r>
              <w:t>Бесплатно*</w:t>
            </w:r>
          </w:p>
        </w:tc>
        <w:tc>
          <w:tcPr>
            <w:tcW w:w="3700" w:type="dxa"/>
          </w:tcPr>
          <w:p w:rsidR="00402D65" w:rsidRDefault="00402D65" w:rsidP="00266A12">
            <w:pPr>
              <w:ind w:firstLine="0"/>
            </w:pPr>
          </w:p>
        </w:tc>
      </w:tr>
    </w:tbl>
    <w:p w:rsidR="00402D65" w:rsidRDefault="00402D65" w:rsidP="00A823D5"/>
    <w:p w:rsidR="00402D65" w:rsidRDefault="00402D65" w:rsidP="00A823D5"/>
    <w:p w:rsidR="000C653C" w:rsidRPr="00402D65" w:rsidRDefault="004127DF" w:rsidP="00A823D5">
      <w:pPr>
        <w:rPr>
          <w:u w:val="single"/>
        </w:rPr>
      </w:pPr>
      <w:r w:rsidRPr="00402D65">
        <w:rPr>
          <w:u w:val="single"/>
        </w:rPr>
        <w:t>Примечания:</w:t>
      </w:r>
    </w:p>
    <w:p w:rsidR="004127DF" w:rsidRPr="004127DF" w:rsidRDefault="004127DF" w:rsidP="004127DF">
      <w:r>
        <w:t xml:space="preserve">* </w:t>
      </w:r>
      <w:r w:rsidRPr="004127DF">
        <w:t>Депонент дополнительно возмещает фактические затраты, понесенные Депозитарием в связи с оказанием ему соответствующей у</w:t>
      </w:r>
      <w:r w:rsidR="00492D70">
        <w:t>слуги (кроме возмещения затрат по хранению ценных бумаг).</w:t>
      </w:r>
    </w:p>
    <w:p w:rsidR="004127DF" w:rsidRDefault="004127DF" w:rsidP="00A823D5"/>
    <w:p w:rsidR="004127DF" w:rsidRDefault="004127DF" w:rsidP="00A823D5"/>
    <w:p w:rsidR="00A823D5" w:rsidRPr="00786360" w:rsidRDefault="00A823D5" w:rsidP="00A823D5">
      <w:pPr>
        <w:pStyle w:val="a6"/>
        <w:widowControl/>
        <w:numPr>
          <w:ilvl w:val="0"/>
          <w:numId w:val="1"/>
        </w:numPr>
        <w:spacing w:after="120"/>
        <w:ind w:left="0" w:firstLine="703"/>
        <w:contextualSpacing w:val="0"/>
      </w:pPr>
      <w:r w:rsidRPr="00786360">
        <w:t xml:space="preserve">Информация о действующих Тарифах на услуги Депозитария </w:t>
      </w:r>
      <w:r>
        <w:t xml:space="preserve">ООО «Московские партнеры» </w:t>
      </w:r>
      <w:r w:rsidRPr="00786360">
        <w:t xml:space="preserve">(далее – Тарифы) размещается </w:t>
      </w:r>
      <w:r w:rsidRPr="00C4339F">
        <w:t xml:space="preserve">на WEB-сайте </w:t>
      </w:r>
      <w:r>
        <w:t>Депозитария</w:t>
      </w:r>
      <w:r w:rsidRPr="00C4339F">
        <w:t xml:space="preserve"> в сети Интернет по адресу: </w:t>
      </w:r>
      <w:hyperlink r:id="rId8" w:history="1">
        <w:r w:rsidRPr="006B4724">
          <w:rPr>
            <w:rStyle w:val="a7"/>
          </w:rPr>
          <w:t>http://www.moscowpartners.com</w:t>
        </w:r>
      </w:hyperlink>
      <w:r w:rsidRPr="006B4724">
        <w:t>.</w:t>
      </w:r>
    </w:p>
    <w:p w:rsidR="00A823D5" w:rsidRPr="00786360" w:rsidRDefault="00A823D5" w:rsidP="00A823D5">
      <w:pPr>
        <w:pStyle w:val="a6"/>
        <w:widowControl/>
        <w:numPr>
          <w:ilvl w:val="0"/>
          <w:numId w:val="1"/>
        </w:numPr>
        <w:spacing w:after="120"/>
        <w:ind w:left="0" w:firstLine="703"/>
        <w:contextualSpacing w:val="0"/>
      </w:pPr>
      <w:r w:rsidRPr="00786360">
        <w:t xml:space="preserve">В соответствии с </w:t>
      </w:r>
      <w:proofErr w:type="spellStart"/>
      <w:r w:rsidRPr="00786360">
        <w:t>п.п</w:t>
      </w:r>
      <w:proofErr w:type="spellEnd"/>
      <w:r w:rsidRPr="00786360">
        <w:t xml:space="preserve">. 12.2. п. 2 ст. 149 Налогового кодекса РФ услуги, оказываемые </w:t>
      </w:r>
      <w:r>
        <w:t>ООО «Московские партнеры»</w:t>
      </w:r>
      <w:r w:rsidRPr="00786360">
        <w:t xml:space="preserve"> на </w:t>
      </w:r>
      <w:r w:rsidRPr="006B4724">
        <w:t>основании лицензий на осуществление соответствующих видов деятельности</w:t>
      </w:r>
      <w:r w:rsidRPr="00786360">
        <w:t>, не подлежат налогообложению налогом на добавленную стоимость.</w:t>
      </w:r>
    </w:p>
    <w:p w:rsidR="00A823D5" w:rsidRPr="00786360" w:rsidRDefault="00A823D5" w:rsidP="00A823D5">
      <w:pPr>
        <w:pStyle w:val="a6"/>
        <w:widowControl/>
        <w:numPr>
          <w:ilvl w:val="0"/>
          <w:numId w:val="1"/>
        </w:numPr>
        <w:spacing w:after="120"/>
        <w:ind w:left="0" w:firstLine="703"/>
        <w:contextualSpacing w:val="0"/>
      </w:pPr>
      <w:r w:rsidRPr="00786360">
        <w:t>Порядок выставления и оплаты счетов за услуги Депозитария, в том числе авансовых счетов, возмещения фактических расход</w:t>
      </w:r>
      <w:r>
        <w:t xml:space="preserve">ов Депозитария, предусмотрен в </w:t>
      </w:r>
      <w:r w:rsidR="008407B0">
        <w:t xml:space="preserve"> Условиях осуществления депозитарной деятельности Общества с ограниченной ответственностью «Московские партнеры» (Клиентский регламент)</w:t>
      </w:r>
    </w:p>
    <w:p w:rsidR="00A823D5" w:rsidRPr="00786360" w:rsidRDefault="00A823D5" w:rsidP="00A823D5">
      <w:pPr>
        <w:pStyle w:val="a6"/>
        <w:widowControl/>
        <w:numPr>
          <w:ilvl w:val="0"/>
          <w:numId w:val="1"/>
        </w:numPr>
        <w:spacing w:after="120"/>
        <w:ind w:left="0" w:firstLine="703"/>
        <w:contextualSpacing w:val="0"/>
      </w:pPr>
      <w:r w:rsidRPr="00786360">
        <w:t xml:space="preserve">Под </w:t>
      </w:r>
      <w:r w:rsidR="002455E8">
        <w:t>Р</w:t>
      </w:r>
      <w:r>
        <w:t xml:space="preserve">асчетным </w:t>
      </w:r>
      <w:r w:rsidRPr="00786360">
        <w:t>периодом в целях настоящих Тарифов понимается один календарный месяц.</w:t>
      </w:r>
    </w:p>
    <w:p w:rsidR="00A823D5" w:rsidRPr="00786360" w:rsidRDefault="00A823D5" w:rsidP="00A823D5">
      <w:pPr>
        <w:pStyle w:val="a6"/>
        <w:widowControl/>
        <w:numPr>
          <w:ilvl w:val="0"/>
          <w:numId w:val="1"/>
        </w:numPr>
        <w:spacing w:after="120"/>
        <w:ind w:left="0" w:firstLine="703"/>
        <w:contextualSpacing w:val="0"/>
      </w:pPr>
      <w:r w:rsidRPr="00786360">
        <w:t xml:space="preserve">Компенсация </w:t>
      </w:r>
      <w:r w:rsidR="00402D65">
        <w:t xml:space="preserve">подлежащих возмещению </w:t>
      </w:r>
      <w:r w:rsidRPr="00786360">
        <w:t xml:space="preserve">расходов Депозитария осуществляется Депонентами путем возмещения суммы, рассчитанной Депозитарием по каждому </w:t>
      </w:r>
      <w:r w:rsidR="000C653C">
        <w:t>Д</w:t>
      </w:r>
      <w:r w:rsidRPr="00786360">
        <w:t>епоненту в соответствии с тарифами и методикой, которые применяет организация, выставившая счет.</w:t>
      </w:r>
    </w:p>
    <w:p w:rsidR="00A823D5" w:rsidRPr="00786360" w:rsidRDefault="00A823D5" w:rsidP="00A823D5">
      <w:pPr>
        <w:pStyle w:val="a6"/>
        <w:widowControl/>
        <w:numPr>
          <w:ilvl w:val="0"/>
          <w:numId w:val="1"/>
        </w:numPr>
        <w:spacing w:after="120"/>
        <w:ind w:left="0" w:firstLine="703"/>
        <w:contextualSpacing w:val="0"/>
      </w:pPr>
      <w:r w:rsidRPr="00786360">
        <w:t xml:space="preserve">Депонент возмещает документально подтвержденные расходы Депозитария </w:t>
      </w:r>
      <w:r>
        <w:t xml:space="preserve">ООО «Московские партнеры» </w:t>
      </w:r>
      <w:r w:rsidRPr="00786360">
        <w:t xml:space="preserve">по оплате комиссий кредитных организаций за проведение платежей, конвертацию денежных средств и исполнение функций валютного контроля в соответствии с тарифами кредитной организации при осуществлении </w:t>
      </w:r>
      <w:r>
        <w:t>ООО «Московские партнеры»</w:t>
      </w:r>
      <w:r w:rsidRPr="00786360">
        <w:t xml:space="preserve"> перечислений Депоненту доходов по его ценным бумагам.</w:t>
      </w:r>
    </w:p>
    <w:p w:rsidR="00A823D5" w:rsidRPr="0025370A" w:rsidRDefault="00A823D5" w:rsidP="00A823D5"/>
    <w:p w:rsidR="005E7E4D" w:rsidRDefault="005E7E4D"/>
    <w:sectPr w:rsidR="005E7E4D" w:rsidSect="000C653C">
      <w:footerReference w:type="even" r:id="rId9"/>
      <w:footerReference w:type="default" r:id="rId10"/>
      <w:pgSz w:w="11906" w:h="16838" w:code="9"/>
      <w:pgMar w:top="851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44" w:rsidRDefault="00437244" w:rsidP="000C653C">
      <w:r>
        <w:separator/>
      </w:r>
    </w:p>
  </w:endnote>
  <w:endnote w:type="continuationSeparator" w:id="0">
    <w:p w:rsidR="00437244" w:rsidRDefault="00437244" w:rsidP="000C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44" w:rsidRDefault="00437244" w:rsidP="00266A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244" w:rsidRDefault="00437244" w:rsidP="00266A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373649"/>
      <w:docPartObj>
        <w:docPartGallery w:val="Page Numbers (Bottom of Page)"/>
        <w:docPartUnique/>
      </w:docPartObj>
    </w:sdtPr>
    <w:sdtEndPr/>
    <w:sdtContent>
      <w:p w:rsidR="00437244" w:rsidRDefault="004372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508">
          <w:rPr>
            <w:noProof/>
          </w:rPr>
          <w:t>1</w:t>
        </w:r>
        <w:r>
          <w:fldChar w:fldCharType="end"/>
        </w:r>
      </w:p>
    </w:sdtContent>
  </w:sdt>
  <w:p w:rsidR="00437244" w:rsidRDefault="00437244" w:rsidP="00266A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44" w:rsidRDefault="00437244" w:rsidP="000C653C">
      <w:r>
        <w:separator/>
      </w:r>
    </w:p>
  </w:footnote>
  <w:footnote w:type="continuationSeparator" w:id="0">
    <w:p w:rsidR="00437244" w:rsidRDefault="00437244" w:rsidP="000C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BCF"/>
    <w:multiLevelType w:val="multilevel"/>
    <w:tmpl w:val="34309F9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F908F1"/>
    <w:multiLevelType w:val="multilevel"/>
    <w:tmpl w:val="50FE9C9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527DCF"/>
    <w:multiLevelType w:val="multilevel"/>
    <w:tmpl w:val="29CCD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72FA2F78"/>
    <w:multiLevelType w:val="multilevel"/>
    <w:tmpl w:val="29CCD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F1347ED"/>
    <w:multiLevelType w:val="multilevel"/>
    <w:tmpl w:val="29CCD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D5"/>
    <w:rsid w:val="000C653C"/>
    <w:rsid w:val="001D19A1"/>
    <w:rsid w:val="002455E8"/>
    <w:rsid w:val="00266A12"/>
    <w:rsid w:val="00290BA3"/>
    <w:rsid w:val="00325B85"/>
    <w:rsid w:val="00402D65"/>
    <w:rsid w:val="00410B66"/>
    <w:rsid w:val="004127DF"/>
    <w:rsid w:val="00437244"/>
    <w:rsid w:val="00492D70"/>
    <w:rsid w:val="004C7EF7"/>
    <w:rsid w:val="0059601D"/>
    <w:rsid w:val="005E7E4D"/>
    <w:rsid w:val="00610ED6"/>
    <w:rsid w:val="00611DDA"/>
    <w:rsid w:val="006570C8"/>
    <w:rsid w:val="006B4724"/>
    <w:rsid w:val="006F7194"/>
    <w:rsid w:val="007615A6"/>
    <w:rsid w:val="007918E5"/>
    <w:rsid w:val="007F1FC4"/>
    <w:rsid w:val="00820677"/>
    <w:rsid w:val="008407B0"/>
    <w:rsid w:val="008C352F"/>
    <w:rsid w:val="009D7A90"/>
    <w:rsid w:val="00A171C8"/>
    <w:rsid w:val="00A823D5"/>
    <w:rsid w:val="00B04311"/>
    <w:rsid w:val="00C425F7"/>
    <w:rsid w:val="00D131B0"/>
    <w:rsid w:val="00DB2A5D"/>
    <w:rsid w:val="00DF5E74"/>
    <w:rsid w:val="00E50508"/>
    <w:rsid w:val="00E82D89"/>
    <w:rsid w:val="00ED7E45"/>
    <w:rsid w:val="00F71134"/>
    <w:rsid w:val="00FB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D5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23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2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23D5"/>
  </w:style>
  <w:style w:type="paragraph" w:styleId="a6">
    <w:name w:val="List Paragraph"/>
    <w:basedOn w:val="a"/>
    <w:uiPriority w:val="34"/>
    <w:qFormat/>
    <w:rsid w:val="00A823D5"/>
    <w:pPr>
      <w:ind w:left="720"/>
      <w:contextualSpacing/>
    </w:pPr>
  </w:style>
  <w:style w:type="character" w:styleId="a7">
    <w:name w:val="Hyperlink"/>
    <w:uiPriority w:val="99"/>
    <w:rsid w:val="00A823D5"/>
    <w:rPr>
      <w:color w:val="0000FF"/>
      <w:u w:val="single"/>
    </w:rPr>
  </w:style>
  <w:style w:type="table" w:styleId="a8">
    <w:name w:val="Table Grid"/>
    <w:basedOn w:val="a1"/>
    <w:rsid w:val="00A82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65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6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20677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407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07B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FB4F6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B4F64"/>
  </w:style>
  <w:style w:type="character" w:customStyle="1" w:styleId="af0">
    <w:name w:val="Текст примечания Знак"/>
    <w:basedOn w:val="a0"/>
    <w:link w:val="af"/>
    <w:uiPriority w:val="99"/>
    <w:semiHidden/>
    <w:rsid w:val="00FB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4F6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B4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D5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23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2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23D5"/>
  </w:style>
  <w:style w:type="paragraph" w:styleId="a6">
    <w:name w:val="List Paragraph"/>
    <w:basedOn w:val="a"/>
    <w:uiPriority w:val="34"/>
    <w:qFormat/>
    <w:rsid w:val="00A823D5"/>
    <w:pPr>
      <w:ind w:left="720"/>
      <w:contextualSpacing/>
    </w:pPr>
  </w:style>
  <w:style w:type="character" w:styleId="a7">
    <w:name w:val="Hyperlink"/>
    <w:uiPriority w:val="99"/>
    <w:rsid w:val="00A823D5"/>
    <w:rPr>
      <w:color w:val="0000FF"/>
      <w:u w:val="single"/>
    </w:rPr>
  </w:style>
  <w:style w:type="table" w:styleId="a8">
    <w:name w:val="Table Grid"/>
    <w:basedOn w:val="a1"/>
    <w:rsid w:val="00A82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65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6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20677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407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07B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FB4F6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B4F64"/>
  </w:style>
  <w:style w:type="character" w:customStyle="1" w:styleId="af0">
    <w:name w:val="Текст примечания Знак"/>
    <w:basedOn w:val="a0"/>
    <w:link w:val="af"/>
    <w:uiPriority w:val="99"/>
    <w:semiHidden/>
    <w:rsid w:val="00FB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4F6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B4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partner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B4FCB7FE.dotm</Template>
  <TotalTime>58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verden</dc:creator>
  <cp:lastModifiedBy>Исакова Юлия</cp:lastModifiedBy>
  <cp:revision>12</cp:revision>
  <dcterms:created xsi:type="dcterms:W3CDTF">2021-05-26T07:43:00Z</dcterms:created>
  <dcterms:modified xsi:type="dcterms:W3CDTF">2021-08-09T13:41:00Z</dcterms:modified>
</cp:coreProperties>
</file>